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1C5C33" w:rsidRDefault="002D3C0C" w:rsidP="001A4F74">
      <w:pPr>
        <w:pStyle w:val="Title"/>
        <w:spacing w:before="0" w:after="0"/>
        <w:jc w:val="center"/>
        <w:rPr>
          <w:sz w:val="44"/>
          <w:lang w:val="pt-PT"/>
        </w:rPr>
      </w:pPr>
      <w:r w:rsidRPr="001C5C33">
        <w:rPr>
          <w:sz w:val="44"/>
          <w:szCs w:val="48"/>
          <w:lang w:val="pt-PT" w:bidi="pt-PT"/>
        </w:rPr>
        <w:t>Guia de acompanhamento do indicador 6.5.1 do ODS 6</w:t>
      </w:r>
    </w:p>
    <w:p w14:paraId="2048B0F8" w14:textId="174859AC" w:rsidR="00334405" w:rsidRPr="001E1E11" w:rsidRDefault="00477F54" w:rsidP="001A4F74">
      <w:pPr>
        <w:pStyle w:val="Title"/>
        <w:spacing w:before="0"/>
        <w:jc w:val="center"/>
        <w:rPr>
          <w:sz w:val="28"/>
          <w:lang w:val="pt-PT"/>
        </w:rPr>
      </w:pPr>
      <w:r w:rsidRPr="001A4F74">
        <w:rPr>
          <w:sz w:val="28"/>
          <w:szCs w:val="28"/>
          <w:lang w:val="pt-PT" w:bidi="pt-PT"/>
        </w:rPr>
        <w:t xml:space="preserve">Grau de implementação </w:t>
      </w:r>
      <w:r w:rsidR="001E1E11" w:rsidRPr="001A4F74">
        <w:rPr>
          <w:sz w:val="28"/>
          <w:szCs w:val="28"/>
          <w:lang w:val="pt-PT" w:bidi="pt-PT"/>
        </w:rPr>
        <w:t>d</w:t>
      </w:r>
      <w:r w:rsidR="001E1E11">
        <w:rPr>
          <w:sz w:val="28"/>
          <w:szCs w:val="28"/>
          <w:lang w:val="pt-PT" w:bidi="pt-PT"/>
        </w:rPr>
        <w:t>e</w:t>
      </w:r>
      <w:r w:rsidR="001E1E11" w:rsidRPr="001A4F74">
        <w:rPr>
          <w:sz w:val="28"/>
          <w:szCs w:val="28"/>
          <w:lang w:val="pt-PT" w:bidi="pt-PT"/>
        </w:rPr>
        <w:t xml:space="preserve"> </w:t>
      </w:r>
      <w:r w:rsidRPr="001A4F74">
        <w:rPr>
          <w:sz w:val="28"/>
          <w:szCs w:val="28"/>
          <w:lang w:val="pt-PT" w:bidi="pt-PT"/>
        </w:rPr>
        <w:t>gestão integrada de recursos hídricos (0-100)</w:t>
      </w:r>
    </w:p>
    <w:p w14:paraId="1FB9CB2D" w14:textId="7BA76022" w:rsidR="00AC3EAC" w:rsidRDefault="00F02208" w:rsidP="00AC3EAC">
      <w:pPr>
        <w:pStyle w:val="Heading1"/>
      </w:pPr>
      <w:r>
        <w:rPr>
          <w:lang w:val="pt-PT" w:bidi="pt-PT"/>
        </w:rPr>
        <w:t>Introdução</w:t>
      </w:r>
    </w:p>
    <w:p w14:paraId="05CF53C5" w14:textId="0337FC75" w:rsidR="00984ACB" w:rsidRPr="001E1E11" w:rsidRDefault="00F02208" w:rsidP="006D537B">
      <w:pPr>
        <w:autoSpaceDE w:val="0"/>
        <w:autoSpaceDN w:val="0"/>
        <w:adjustRightInd w:val="0"/>
        <w:jc w:val="both"/>
        <w:rPr>
          <w:sz w:val="22"/>
          <w:szCs w:val="22"/>
        </w:rPr>
      </w:pPr>
      <w:r w:rsidRPr="00743CEC">
        <w:rPr>
          <w:sz w:val="22"/>
          <w:szCs w:val="22"/>
          <w:lang w:bidi="pt-PT"/>
        </w:rPr>
        <w:t>O presente documento constitui um guia para que os pontos focais nacionais comuniquem informações relativas ao indicador 6.5.1 sobre a implementa</w:t>
      </w:r>
      <w:r w:rsidR="001E1E11">
        <w:rPr>
          <w:sz w:val="22"/>
          <w:szCs w:val="22"/>
          <w:lang w:bidi="pt-PT"/>
        </w:rPr>
        <w:t>ção de gestão</w:t>
      </w:r>
      <w:r w:rsidRPr="00743CEC">
        <w:rPr>
          <w:sz w:val="22"/>
          <w:szCs w:val="22"/>
          <w:lang w:bidi="pt-PT"/>
        </w:rPr>
        <w:t xml:space="preserve"> integrada dos recursos hídricos (GIRH). A abordagem de acompanhamento baseia-se num </w:t>
      </w:r>
      <w:hyperlink r:id="rId11" w:history="1">
        <w:r w:rsidR="00286F58" w:rsidRPr="00743CEC">
          <w:rPr>
            <w:rStyle w:val="Hyperlink"/>
            <w:sz w:val="22"/>
            <w:szCs w:val="22"/>
            <w:lang w:bidi="pt-PT"/>
          </w:rPr>
          <w:t>instrumento de inquérito</w:t>
        </w:r>
      </w:hyperlink>
      <w:r w:rsidRPr="00743CEC">
        <w:rPr>
          <w:sz w:val="22"/>
          <w:szCs w:val="22"/>
          <w:lang w:bidi="pt-PT"/>
        </w:rPr>
        <w:t xml:space="preserve"> que deve ser preenchido de três em três anos. O instrumento de inquérito contém conselhos aos utilizadores sobre a forma de preenchê-lo e de calcular a pontuação do indicador. Por conseguinte, o presente guia incide sobre os processos de preenchimento, envio e desenvolvimento do instrumento de inquérito. Os países são convidados a designar pontos focais nacionais para o indicador 6.5.1 a fim de coordenar o processo de comunicação de informações. </w:t>
      </w:r>
      <w:r w:rsidR="00AB5243" w:rsidRPr="00743CEC">
        <w:rPr>
          <w:rFonts w:eastAsia="Times New Roman" w:cs="Times New Roman"/>
          <w:sz w:val="22"/>
          <w:szCs w:val="22"/>
          <w:lang w:bidi="pt-PT"/>
        </w:rPr>
        <w:t xml:space="preserve">Por norma, o ponto focal é um funcionário governamental de um ministério com responsabilidade global pelos recursos hídricos no país. </w:t>
      </w:r>
      <w:r w:rsidRPr="00743CEC">
        <w:rPr>
          <w:sz w:val="22"/>
          <w:szCs w:val="22"/>
          <w:lang w:bidi="pt-PT"/>
        </w:rPr>
        <w:t xml:space="preserve">Um total de 172 países comunicaram informações em 2017 para estabelecer a </w:t>
      </w:r>
      <w:hyperlink r:id="rId12" w:history="1">
        <w:r w:rsidR="00C7512B" w:rsidRPr="00705BE5">
          <w:rPr>
            <w:rStyle w:val="Hyperlink"/>
            <w:sz w:val="22"/>
            <w:szCs w:val="22"/>
            <w:lang w:bidi="pt-PT"/>
          </w:rPr>
          <w:t>base de referência</w:t>
        </w:r>
      </w:hyperlink>
      <w:r w:rsidRPr="00743CEC">
        <w:rPr>
          <w:sz w:val="22"/>
          <w:szCs w:val="22"/>
          <w:lang w:bidi="pt-PT"/>
        </w:rPr>
        <w:t xml:space="preserve"> do indicador 6.5.1 do ODS 6. A 2.ª ronda da recolha de dados terá lugar em 2020. </w:t>
      </w:r>
    </w:p>
    <w:p w14:paraId="087ACC99" w14:textId="707C55A7" w:rsidR="00984ACB" w:rsidRPr="001E1E11" w:rsidRDefault="00984ACB" w:rsidP="006D537B">
      <w:pPr>
        <w:autoSpaceDE w:val="0"/>
        <w:autoSpaceDN w:val="0"/>
        <w:adjustRightInd w:val="0"/>
        <w:jc w:val="both"/>
        <w:rPr>
          <w:sz w:val="22"/>
          <w:szCs w:val="22"/>
        </w:rPr>
      </w:pPr>
      <w:r w:rsidRPr="00743CEC">
        <w:rPr>
          <w:sz w:val="22"/>
          <w:szCs w:val="22"/>
          <w:lang w:bidi="pt-PT"/>
        </w:rPr>
        <w:t>O presente guia inclui as principais secções seguintes:</w:t>
      </w:r>
    </w:p>
    <w:p w14:paraId="5B66B08A" w14:textId="1AD3B406" w:rsidR="00984ACB" w:rsidRPr="001E1E11" w:rsidRDefault="00984ACB" w:rsidP="00984ACB">
      <w:pPr>
        <w:pStyle w:val="ListParagraph"/>
        <w:numPr>
          <w:ilvl w:val="0"/>
          <w:numId w:val="18"/>
        </w:numPr>
        <w:autoSpaceDE w:val="0"/>
        <w:autoSpaceDN w:val="0"/>
        <w:adjustRightInd w:val="0"/>
        <w:rPr>
          <w:sz w:val="22"/>
          <w:szCs w:val="22"/>
        </w:rPr>
      </w:pPr>
      <w:r w:rsidRPr="00743CEC">
        <w:rPr>
          <w:sz w:val="22"/>
          <w:szCs w:val="22"/>
          <w:lang w:bidi="pt-PT"/>
        </w:rPr>
        <w:t>Secção 2: recomendações sobre o processo nacional de acompanhamento e comunicação de informações.</w:t>
      </w:r>
    </w:p>
    <w:p w14:paraId="6451D66C" w14:textId="46AE0E24"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bidi="pt-PT"/>
        </w:rPr>
        <w:t>Secção 3: definição de metas</w:t>
      </w:r>
    </w:p>
    <w:p w14:paraId="566D00EF" w14:textId="1E614B41" w:rsidR="00984ACB" w:rsidRPr="001E1E11" w:rsidRDefault="00984ACB" w:rsidP="00984ACB">
      <w:pPr>
        <w:pStyle w:val="ListParagraph"/>
        <w:numPr>
          <w:ilvl w:val="0"/>
          <w:numId w:val="18"/>
        </w:numPr>
        <w:autoSpaceDE w:val="0"/>
        <w:autoSpaceDN w:val="0"/>
        <w:adjustRightInd w:val="0"/>
        <w:rPr>
          <w:sz w:val="22"/>
          <w:szCs w:val="22"/>
        </w:rPr>
      </w:pPr>
      <w:r w:rsidRPr="00743CEC">
        <w:rPr>
          <w:sz w:val="22"/>
          <w:szCs w:val="22"/>
          <w:lang w:bidi="pt-PT"/>
        </w:rPr>
        <w:t>Secção 4: utilização do instrumento de inquérito no planeamento nacional</w:t>
      </w:r>
    </w:p>
    <w:p w14:paraId="37EEA64E" w14:textId="1590BDBB" w:rsidR="00984ACB" w:rsidRPr="001E1E11" w:rsidRDefault="00984ACB" w:rsidP="00984ACB">
      <w:pPr>
        <w:pStyle w:val="ListParagraph"/>
        <w:numPr>
          <w:ilvl w:val="0"/>
          <w:numId w:val="18"/>
        </w:numPr>
        <w:autoSpaceDE w:val="0"/>
        <w:autoSpaceDN w:val="0"/>
        <w:adjustRightInd w:val="0"/>
        <w:rPr>
          <w:sz w:val="22"/>
          <w:szCs w:val="22"/>
        </w:rPr>
      </w:pPr>
      <w:r w:rsidRPr="00743CEC">
        <w:rPr>
          <w:sz w:val="22"/>
          <w:szCs w:val="22"/>
          <w:lang w:bidi="pt-PT"/>
        </w:rPr>
        <w:t>Secção 5: diferenças por comparação com o instrumento de inquérito de base</w:t>
      </w:r>
    </w:p>
    <w:p w14:paraId="276CAC1C" w14:textId="029D7CB2" w:rsidR="00984ACB" w:rsidRPr="001E1E11" w:rsidRDefault="00984ACB" w:rsidP="00984ACB">
      <w:pPr>
        <w:pStyle w:val="ListParagraph"/>
        <w:numPr>
          <w:ilvl w:val="0"/>
          <w:numId w:val="18"/>
        </w:numPr>
        <w:autoSpaceDE w:val="0"/>
        <w:autoSpaceDN w:val="0"/>
        <w:adjustRightInd w:val="0"/>
        <w:rPr>
          <w:sz w:val="22"/>
          <w:szCs w:val="22"/>
        </w:rPr>
      </w:pPr>
      <w:r w:rsidRPr="00743CEC">
        <w:rPr>
          <w:sz w:val="22"/>
          <w:szCs w:val="22"/>
          <w:lang w:bidi="pt-PT"/>
        </w:rPr>
        <w:t>Secção 6: envio e serviço de apoio</w:t>
      </w:r>
    </w:p>
    <w:p w14:paraId="0623EF43" w14:textId="77777777" w:rsidR="00D8506A" w:rsidRPr="005B629E" w:rsidRDefault="00D8506A" w:rsidP="00D8506A">
      <w:pPr>
        <w:pStyle w:val="Heading2"/>
      </w:pPr>
      <w:r w:rsidRPr="005B629E">
        <w:rPr>
          <w:lang w:val="pt-PT" w:bidi="pt-PT"/>
        </w:rPr>
        <w:t>Resumo do indicador</w:t>
      </w:r>
    </w:p>
    <w:p w14:paraId="2B9E90AB" w14:textId="77777777" w:rsidR="00D8506A" w:rsidRPr="001E1E11" w:rsidRDefault="00D8506A" w:rsidP="00D8506A">
      <w:pPr>
        <w:rPr>
          <w:sz w:val="22"/>
          <w:szCs w:val="22"/>
        </w:rPr>
      </w:pPr>
      <w:r w:rsidRPr="00743CEC">
        <w:rPr>
          <w:b/>
          <w:sz w:val="22"/>
          <w:szCs w:val="22"/>
          <w:lang w:bidi="pt-PT"/>
        </w:rPr>
        <w:t xml:space="preserve">Meta 6.5 </w:t>
      </w:r>
      <w:r w:rsidRPr="00743CEC">
        <w:rPr>
          <w:sz w:val="22"/>
          <w:szCs w:val="22"/>
          <w:lang w:bidi="pt-PT"/>
        </w:rPr>
        <w:tab/>
        <w:t>Até 2030, implementar a gestão integrada dos recursos hídricos, a todos os níveis, inclusive via cooperação transfronteiriça, conforme apropriado.</w:t>
      </w:r>
    </w:p>
    <w:p w14:paraId="7D20B3DA" w14:textId="457F523B" w:rsidR="00D8506A" w:rsidRPr="001E1E11" w:rsidRDefault="00D8506A" w:rsidP="00D8506A">
      <w:pPr>
        <w:rPr>
          <w:sz w:val="22"/>
          <w:szCs w:val="22"/>
        </w:rPr>
      </w:pPr>
      <w:r w:rsidRPr="00743CEC">
        <w:rPr>
          <w:b/>
          <w:sz w:val="22"/>
          <w:szCs w:val="22"/>
          <w:lang w:bidi="pt-PT"/>
        </w:rPr>
        <w:t xml:space="preserve">Indicador 6.5.1 </w:t>
      </w:r>
      <w:r w:rsidRPr="00743CEC">
        <w:rPr>
          <w:sz w:val="22"/>
          <w:szCs w:val="22"/>
          <w:lang w:bidi="pt-PT"/>
        </w:rPr>
        <w:tab/>
        <w:t>Grau de implementa</w:t>
      </w:r>
      <w:r w:rsidR="001E1E11">
        <w:rPr>
          <w:sz w:val="22"/>
          <w:szCs w:val="22"/>
          <w:lang w:bidi="pt-PT"/>
        </w:rPr>
        <w:t>ção de gestão</w:t>
      </w:r>
      <w:r w:rsidRPr="00743CEC">
        <w:rPr>
          <w:sz w:val="22"/>
          <w:szCs w:val="22"/>
          <w:lang w:bidi="pt-PT"/>
        </w:rPr>
        <w:t xml:space="preserve"> integrada de recursos hídricos (GIRH) (0-100).</w:t>
      </w:r>
    </w:p>
    <w:p w14:paraId="6AA0BA30" w14:textId="77777777" w:rsidR="00D8506A" w:rsidRPr="001E1E11" w:rsidRDefault="00D8506A" w:rsidP="00D8506A">
      <w:pPr>
        <w:rPr>
          <w:sz w:val="22"/>
          <w:szCs w:val="22"/>
        </w:rPr>
      </w:pPr>
      <w:r w:rsidRPr="00743CEC">
        <w:rPr>
          <w:sz w:val="22"/>
          <w:szCs w:val="22"/>
          <w:lang w:bidi="pt-PT"/>
        </w:rPr>
        <w:t xml:space="preserve">O indicador é determinado a partir dos resultados de um instrumento de inquérito sobre a GIRH, conforme seguidamente se descreve. </w:t>
      </w:r>
    </w:p>
    <w:p w14:paraId="07908F2F" w14:textId="0E20FF9F" w:rsidR="005029B3" w:rsidRPr="001E1E11" w:rsidRDefault="005029B3" w:rsidP="005029B3">
      <w:pPr>
        <w:pStyle w:val="Heading2"/>
        <w:rPr>
          <w:lang w:val="pt-PT"/>
        </w:rPr>
      </w:pPr>
      <w:r w:rsidRPr="005B629E">
        <w:rPr>
          <w:lang w:val="pt-PT" w:bidi="pt-PT"/>
        </w:rPr>
        <w:t xml:space="preserve">Porquê comunicar informações sobre o indicador 6.5.1 do ODS 6? </w:t>
      </w:r>
    </w:p>
    <w:p w14:paraId="2C77B612" w14:textId="0854E834" w:rsidR="005029B3" w:rsidRPr="001E1E11" w:rsidRDefault="005B629E" w:rsidP="006D537B">
      <w:pPr>
        <w:jc w:val="both"/>
        <w:rPr>
          <w:sz w:val="22"/>
          <w:szCs w:val="22"/>
        </w:rPr>
      </w:pPr>
      <w:r w:rsidRPr="003D166E">
        <w:rPr>
          <w:rFonts w:eastAsia="Times New Roman"/>
          <w:color w:val="000000"/>
          <w:sz w:val="22"/>
          <w:szCs w:val="22"/>
          <w:lang w:bidi="pt-PT"/>
        </w:rPr>
        <w:t>A principal finalidade do instrumento de inquérito é o acompanhamento e comunicação de informações globais sobre o indicador 6.5.1. Foi concebido com o propósito de constituir uma ferramenta de diagnóstico simples e útil para os países identificarem os pontos fortes e os pontos fracos em diferentes aspetos da implementação da GIRH. A abordagem ao preenchimento do inquérito promove o diálogo intersetorial a vários níveis. Tanto o instrumento de inquérito como a abordagem ao seu preenchimento pretendem ser úteis aos processos nacionais de planeamento a fim de fomentar a implementação da GIRH e contribuir, deste modo, para a concretização da meta 6.5 do ODS 6 “</w:t>
      </w:r>
      <w:r w:rsidR="00405255" w:rsidRPr="00743CEC">
        <w:rPr>
          <w:sz w:val="22"/>
          <w:szCs w:val="22"/>
          <w:lang w:bidi="pt-PT"/>
        </w:rPr>
        <w:t xml:space="preserve">Até 2030, implementar a gestão integrada dos recursos hídricos, a todos os níveis, inclusive via cooperação transfronteiriça, conforme apropriado.” </w:t>
      </w:r>
    </w:p>
    <w:p w14:paraId="21575632" w14:textId="5D59CCA4" w:rsidR="00D260AB" w:rsidRPr="001E1E11" w:rsidRDefault="00D260AB" w:rsidP="006D537B">
      <w:pPr>
        <w:jc w:val="both"/>
        <w:rPr>
          <w:sz w:val="22"/>
          <w:szCs w:val="22"/>
        </w:rPr>
      </w:pPr>
      <w:r w:rsidRPr="00743CEC">
        <w:rPr>
          <w:sz w:val="22"/>
          <w:szCs w:val="22"/>
          <w:lang w:bidi="pt-PT"/>
        </w:rPr>
        <w:lastRenderedPageBreak/>
        <w:t xml:space="preserve">A GIRH é um processo que promove o desenvolvimento e a gestão coordenados dos recursos hídricos, terrestres e outros recursos afins, com vista a maximizar o bem-estar económico e social de modo justo, sem comprometer a sustentabilidade de ecossistemas vitais. A GIRH não constitui um fim em si mesma, mas sim um meio de alcançar os três objetivos essenciais da gestão sustentável dos recursos hídricos: </w:t>
      </w:r>
    </w:p>
    <w:p w14:paraId="2E927171" w14:textId="77777777" w:rsidR="00D260AB" w:rsidRPr="001E1E11" w:rsidRDefault="00D260AB" w:rsidP="00D260AB">
      <w:pPr>
        <w:pStyle w:val="ListParagraph"/>
        <w:numPr>
          <w:ilvl w:val="0"/>
          <w:numId w:val="4"/>
        </w:numPr>
        <w:rPr>
          <w:sz w:val="22"/>
          <w:szCs w:val="22"/>
        </w:rPr>
      </w:pPr>
      <w:r w:rsidRPr="00743CEC">
        <w:rPr>
          <w:sz w:val="22"/>
          <w:szCs w:val="22"/>
          <w:lang w:bidi="pt-PT"/>
        </w:rPr>
        <w:t>Eficiência económica para utilizar os recursos hídricos da melhor forma possível;</w:t>
      </w:r>
    </w:p>
    <w:p w14:paraId="4316B525" w14:textId="77777777" w:rsidR="00D260AB" w:rsidRPr="001E1E11" w:rsidRDefault="00D260AB" w:rsidP="00D260AB">
      <w:pPr>
        <w:pStyle w:val="ListParagraph"/>
        <w:numPr>
          <w:ilvl w:val="0"/>
          <w:numId w:val="4"/>
        </w:numPr>
        <w:rPr>
          <w:sz w:val="22"/>
          <w:szCs w:val="22"/>
        </w:rPr>
      </w:pPr>
      <w:r w:rsidRPr="00743CEC">
        <w:rPr>
          <w:sz w:val="22"/>
          <w:szCs w:val="22"/>
          <w:lang w:bidi="pt-PT"/>
        </w:rPr>
        <w:t>Igualdade social na atribuição de água entre grupos sociais e económicos;</w:t>
      </w:r>
    </w:p>
    <w:p w14:paraId="59303604" w14:textId="77777777" w:rsidR="00D260AB" w:rsidRPr="001E1E11" w:rsidRDefault="00D260AB" w:rsidP="00D260AB">
      <w:pPr>
        <w:pStyle w:val="ListParagraph"/>
        <w:numPr>
          <w:ilvl w:val="0"/>
          <w:numId w:val="4"/>
        </w:numPr>
        <w:rPr>
          <w:sz w:val="22"/>
          <w:szCs w:val="22"/>
        </w:rPr>
      </w:pPr>
      <w:r w:rsidRPr="00743CEC">
        <w:rPr>
          <w:sz w:val="22"/>
          <w:szCs w:val="22"/>
          <w:lang w:bidi="pt-PT"/>
        </w:rPr>
        <w:t>Sustentabilidade ambiental para proteger a base de recursos hídricos, bem como os ecossistemas associados.</w:t>
      </w:r>
    </w:p>
    <w:p w14:paraId="113E45A5" w14:textId="69654148" w:rsidR="005E47ED" w:rsidRPr="001E1E11" w:rsidRDefault="00D260AB" w:rsidP="006D537B">
      <w:pPr>
        <w:jc w:val="both"/>
        <w:rPr>
          <w:sz w:val="22"/>
          <w:szCs w:val="22"/>
        </w:rPr>
      </w:pPr>
      <w:r w:rsidRPr="00743CEC">
        <w:rPr>
          <w:sz w:val="22"/>
          <w:szCs w:val="22"/>
          <w:lang w:bidi="pt-PT"/>
        </w:rPr>
        <w:t xml:space="preserve">Por conseguinte, a GIRH apoia o trabalho no sentido de outras metas do ODS 6 – Garantir a disponibilidade e a gestão sustentável da água potável e do saneamento para todos – bem como de outros objetivos de desenvolvimento sustentável relacionados com a água. </w:t>
      </w:r>
    </w:p>
    <w:p w14:paraId="5D2192BC" w14:textId="77777777" w:rsidR="007D6DEA" w:rsidRPr="001E1E11" w:rsidRDefault="007D6DEA" w:rsidP="007D6DEA">
      <w:pPr>
        <w:pStyle w:val="Heading2"/>
        <w:rPr>
          <w:lang w:val="pt-PT"/>
        </w:rPr>
      </w:pPr>
      <w:r w:rsidRPr="00743CEC">
        <w:rPr>
          <w:lang w:val="pt-PT" w:bidi="pt-PT"/>
        </w:rPr>
        <w:t>Descrição geral do instrumento de inquérito</w:t>
      </w:r>
    </w:p>
    <w:p w14:paraId="6C072078" w14:textId="18D06FE6" w:rsidR="007D6DEA" w:rsidRPr="001E1E11" w:rsidRDefault="007D6DEA" w:rsidP="006D537B">
      <w:pPr>
        <w:jc w:val="both"/>
        <w:rPr>
          <w:sz w:val="22"/>
          <w:szCs w:val="22"/>
        </w:rPr>
      </w:pPr>
      <w:r w:rsidRPr="00743CEC">
        <w:rPr>
          <w:sz w:val="22"/>
          <w:szCs w:val="22"/>
          <w:lang w:bidi="pt-PT"/>
        </w:rPr>
        <w:t xml:space="preserve">O inquérito compreende cerca de 30 perguntas que abrangem diferentes aspetos da GIRH em quatro secções: ambiente favorável, instituições e participação, instrumentos de gestão e financiamento. Cada secção contém duas subsecções: a primeira refere-se ao nível nacional e a segunda refere-se a “todos os níveis”, incluindo os níveis infranacional, de bacia hidrográfica/aquífero e transfronteiriço, conforme aplicável. </w:t>
      </w:r>
    </w:p>
    <w:p w14:paraId="68758431" w14:textId="687BB29A" w:rsidR="007D6DEA" w:rsidRPr="00743CEC" w:rsidRDefault="007D6DEA" w:rsidP="006D537B">
      <w:pPr>
        <w:jc w:val="both"/>
        <w:rPr>
          <w:sz w:val="22"/>
          <w:szCs w:val="22"/>
        </w:rPr>
      </w:pPr>
      <w:r w:rsidRPr="00743CEC">
        <w:rPr>
          <w:sz w:val="22"/>
          <w:szCs w:val="22"/>
          <w:lang w:bidi="pt-PT"/>
        </w:rPr>
        <w:t xml:space="preserve">Cada pergunta é classificada numa escala de 0 a 100, orientada por descrições de limiares. É encontrada a média das pontuações das perguntas para estabelecer uma pontuação global do indicador, também numa escala de 0 a 100. Os inquiridos são vivamente incentivados a prestar informações complementares através dos campos descritivos de cada pergunta – “Descrição da situação” e “Caminho a seguir” (ver a secção 5 do presente guia). </w:t>
      </w:r>
    </w:p>
    <w:p w14:paraId="01EEE4E3" w14:textId="2E0DA401" w:rsidR="00AC3EAC" w:rsidRPr="001E1E11" w:rsidRDefault="007D6DEA" w:rsidP="00AC3EAC">
      <w:pPr>
        <w:pStyle w:val="Heading1"/>
        <w:rPr>
          <w:lang w:val="pt-PT"/>
        </w:rPr>
      </w:pPr>
      <w:r w:rsidRPr="007D6DEA">
        <w:rPr>
          <w:lang w:val="pt-PT" w:bidi="pt-PT"/>
        </w:rPr>
        <w:t>Recomendações sobre o processo nacional de acompanhamento e comunicação de informações.</w:t>
      </w:r>
    </w:p>
    <w:p w14:paraId="219C485D" w14:textId="77777777" w:rsidR="00530F2F" w:rsidRDefault="00AC67C2" w:rsidP="005A103A">
      <w:pPr>
        <w:jc w:val="both"/>
        <w:rPr>
          <w:rFonts w:eastAsia="Times New Roman" w:cs="Times New Roman"/>
          <w:sz w:val="22"/>
          <w:szCs w:val="22"/>
        </w:rPr>
      </w:pPr>
      <w:r w:rsidRPr="00743CEC">
        <w:rPr>
          <w:rFonts w:eastAsia="Times New Roman" w:cs="Times New Roman"/>
          <w:sz w:val="22"/>
          <w:szCs w:val="22"/>
          <w:lang w:bidi="pt-PT"/>
        </w:rPr>
        <w:t xml:space="preserve">O ponto focal é responsável por coordenar os contributos dos colegas e de outras partes interessadas para ajudar a preencher o instrumento de inquérito. Trata-se de uma forma de contribuir para </w:t>
      </w:r>
      <w:r w:rsidR="006546FC" w:rsidRPr="00743CEC">
        <w:rPr>
          <w:sz w:val="22"/>
          <w:szCs w:val="22"/>
          <w:lang w:bidi="pt-PT"/>
        </w:rPr>
        <w:t xml:space="preserve">reforçar a participação e a apropriação dos processos de gestão da água e de tomada de decisões pelas partes interessadas, tornando o instrumento de inquérito preenchido numa ferramenta de diagnóstico mais robusta e útil para subsequentes discussões e planeamento. </w:t>
      </w:r>
    </w:p>
    <w:p w14:paraId="15D89852" w14:textId="7F943DFA" w:rsidR="005F583B" w:rsidRPr="00743CEC" w:rsidRDefault="00B03638" w:rsidP="006D537B">
      <w:pPr>
        <w:spacing w:after="0"/>
        <w:jc w:val="both"/>
        <w:rPr>
          <w:rFonts w:eastAsia="Times New Roman" w:cs="Times New Roman"/>
          <w:sz w:val="22"/>
          <w:szCs w:val="22"/>
        </w:rPr>
      </w:pPr>
      <w:r w:rsidRPr="00743CEC">
        <w:rPr>
          <w:rFonts w:eastAsia="Times New Roman" w:cs="Times New Roman"/>
          <w:sz w:val="22"/>
          <w:szCs w:val="22"/>
          <w:lang w:bidi="pt-PT"/>
        </w:rPr>
        <w:t xml:space="preserve">Embora a extensão e o modo de envolvimento das partes interessadas sejam da responsabilidade do ponto focal, tendo em conta os recursos disponíveis e as limitações de tempo, recomenda-se que os seguintes aspetos sejam considerados: </w:t>
      </w:r>
    </w:p>
    <w:p w14:paraId="16215CB4" w14:textId="77777777" w:rsidR="005F583B" w:rsidRPr="00743CEC" w:rsidRDefault="005F583B" w:rsidP="006D537B">
      <w:pPr>
        <w:pStyle w:val="ListParagraph"/>
        <w:numPr>
          <w:ilvl w:val="0"/>
          <w:numId w:val="11"/>
        </w:numPr>
        <w:spacing w:after="0"/>
        <w:rPr>
          <w:rFonts w:eastAsia="Times New Roman" w:cs="Times New Roman"/>
          <w:b/>
          <w:sz w:val="22"/>
          <w:szCs w:val="22"/>
        </w:rPr>
      </w:pPr>
      <w:r w:rsidRPr="00743CEC">
        <w:rPr>
          <w:rFonts w:eastAsia="Times New Roman" w:cs="Times New Roman"/>
          <w:b/>
          <w:sz w:val="22"/>
          <w:szCs w:val="22"/>
          <w:lang w:bidi="pt-PT"/>
        </w:rPr>
        <w:t xml:space="preserve">Grupos de partes interessadas: </w:t>
      </w:r>
    </w:p>
    <w:p w14:paraId="23110012" w14:textId="222FEBAB" w:rsidR="005F583B" w:rsidRPr="00743CEC" w:rsidRDefault="005F583B"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pt-PT"/>
        </w:rPr>
        <w:t xml:space="preserve">Governo: representantes do(s) principal(ais) ministério(s) responsável(eis) pelos recursos hídricos, bem como de outros ministérios envolvidos na gestão dos recursos hídricos (designadamente, agricultura, energia, recursos naturais, ambiente, finanças, planeamento urbano e turismo). </w:t>
      </w:r>
    </w:p>
    <w:p w14:paraId="02C3BCBC" w14:textId="6565CB44" w:rsidR="005F583B"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pt-PT"/>
        </w:rPr>
        <w:t xml:space="preserve">A nível de bacias hidrográficas/aquíferos: por exemplo, organizações com responsabilidade pela gestão dos recursos hídricos a nível de bacias hidrográficas fluviais e lacustres ou de aquíferos. </w:t>
      </w:r>
    </w:p>
    <w:p w14:paraId="250425FF" w14:textId="785F5190" w:rsidR="00867BF1"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pt-PT"/>
        </w:rPr>
        <w:lastRenderedPageBreak/>
        <w:t xml:space="preserve">Outras partes interessadas: setor privado, grupos comunitários, associações de utilizadores de água, meio académico, ONG, organizações ambientais e profissionais de gestão de recursos hídricos. </w:t>
      </w:r>
    </w:p>
    <w:p w14:paraId="50B14DAC" w14:textId="1547B009" w:rsidR="006728C9" w:rsidRPr="00743CEC" w:rsidRDefault="006728C9"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pt-PT"/>
        </w:rPr>
        <w:t xml:space="preserve">Em relação a determinadas perguntas do instrumento de inquérito, recomenda-se vivamente a existência de representação ou conhecimentos especializados nas seguintes áreas: setor privado (p. 2.1d), grupos vulneráveis (p. 2.2c), género (p. 2.2d), questões transfronteiriças relativas à água (p 1.2c, 2.2e, 3.2d, 4.2c). </w:t>
      </w:r>
    </w:p>
    <w:p w14:paraId="36DCBEA2" w14:textId="2070FC3D" w:rsidR="00867BF1" w:rsidRPr="00743CEC" w:rsidRDefault="009D488F"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pt-PT"/>
        </w:rPr>
        <w:t>Processo de envolvimento:</w:t>
      </w:r>
      <w:r w:rsidRPr="00743CEC">
        <w:rPr>
          <w:rFonts w:eastAsia="Times New Roman" w:cs="Times New Roman"/>
          <w:sz w:val="22"/>
          <w:szCs w:val="22"/>
          <w:lang w:bidi="pt-PT"/>
        </w:rPr>
        <w:t xml:space="preserve"> As oficinas dinamizadas são suscetíveis de produzir os resultados mais robustos, complementadas por mensagens de correio eletrónico, chamadas telefónicas e outras reuniões. Cada país deve decidir qual o número e quais os locais adequados para estas oficinas, bem como o nível de representação das partes interessadas. Estão disponíveis, mediante pedido, cerca de 30 relatórios de oficinas nacionais do período de acompanhamento de base, que podem servir de fonte de inspiração. Estão igualmente disponíveis, mediante pedido, modelos de relatório de oficinas junto do serviço de apoio 6.5.1. </w:t>
      </w:r>
    </w:p>
    <w:p w14:paraId="4E951BA2" w14:textId="777744BF" w:rsidR="006E5E63" w:rsidRPr="00743CEC" w:rsidRDefault="00D533AC"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pt-PT"/>
        </w:rPr>
        <w:t xml:space="preserve">Desenvolvimento de respostas: </w:t>
      </w:r>
      <w:r w:rsidRPr="00743CEC">
        <w:rPr>
          <w:rFonts w:eastAsia="Times New Roman" w:cs="Times New Roman"/>
          <w:sz w:val="22"/>
          <w:szCs w:val="22"/>
          <w:lang w:bidi="pt-PT"/>
        </w:rPr>
        <w:t xml:space="preserve">Em função do processo de envolvimento, as respostas podem ser desenvolvidas “em série” ou “em paralelo” ou numa combinação destas abordagens (ver caixa 1). Na abordagem em série, podem ser desenvolvidas versões consecutivas do inquérito, com diferentes grupos de partes interessadas. Pode ser desenvolvida uma primeira versão, por exemplo, por algumas das principais instituições governamentais, uma segunda versão por um grupo mais alargado de instituições governamentais e uma terceira versão por outras partes interessadas. Na abordagem em paralelo, é pedido a diferentes grupos de partes interessadas que preencham as respostas a um inquérito em branco. As diferentes respostas devem ser combinadas numa única resposta final. Este exercício poderá ser conduzido numa ou em mais oficinas dinamizadas, em que pode chegar-se a consenso através do debate. Independentemente do processo, no final deverá existir uma única versão do inquérito consolidada e consensual. </w:t>
      </w:r>
    </w:p>
    <w:p w14:paraId="15F876C4" w14:textId="78247439" w:rsidR="004132FF" w:rsidRPr="00451405" w:rsidRDefault="004132FF" w:rsidP="006D537B">
      <w:pPr>
        <w:pStyle w:val="ListParagraph"/>
        <w:numPr>
          <w:ilvl w:val="0"/>
          <w:numId w:val="11"/>
        </w:numPr>
        <w:ind w:left="714" w:hanging="357"/>
        <w:rPr>
          <w:sz w:val="22"/>
          <w:szCs w:val="22"/>
        </w:rPr>
      </w:pPr>
      <w:r w:rsidRPr="00743CEC">
        <w:rPr>
          <w:rFonts w:eastAsia="Times New Roman" w:cs="Times New Roman"/>
          <w:b/>
          <w:sz w:val="22"/>
          <w:szCs w:val="22"/>
          <w:lang w:bidi="pt-PT"/>
        </w:rPr>
        <w:t>Coordenação com outros pontos focais nacionais para os indicadores dos ODS:</w:t>
      </w:r>
      <w:r w:rsidRPr="00743CEC">
        <w:rPr>
          <w:rFonts w:eastAsia="Times New Roman" w:cs="Times New Roman"/>
          <w:sz w:val="22"/>
          <w:szCs w:val="22"/>
          <w:lang w:bidi="pt-PT"/>
        </w:rPr>
        <w:t xml:space="preserve"> sempre que praticável, harmonizar as respostas nacionais e obter o feedback necessário de outras partes interessadas. As perguntas seguintes têm ligações particularmente fortes com outras metas e indicadores dos ODS:</w:t>
      </w:r>
    </w:p>
    <w:tbl>
      <w:tblPr>
        <w:tblStyle w:val="TableGrid"/>
        <w:tblW w:w="0" w:type="auto"/>
        <w:tblLook w:val="04A0" w:firstRow="1" w:lastRow="0" w:firstColumn="1" w:lastColumn="0" w:noHBand="0" w:noVBand="1"/>
      </w:tblPr>
      <w:tblGrid>
        <w:gridCol w:w="3065"/>
        <w:gridCol w:w="7149"/>
      </w:tblGrid>
      <w:tr w:rsidR="0058462A" w14:paraId="44A2801D" w14:textId="77777777" w:rsidTr="00EF0B3B">
        <w:tc>
          <w:tcPr>
            <w:tcW w:w="0" w:type="auto"/>
            <w:vAlign w:val="center"/>
          </w:tcPr>
          <w:p w14:paraId="3C7F0461" w14:textId="67D60DF8" w:rsidR="00404DA4" w:rsidRPr="00EC43B6" w:rsidRDefault="00EC43B6" w:rsidP="00EF0B3B">
            <w:pPr>
              <w:spacing w:after="0"/>
              <w:rPr>
                <w:b/>
                <w:sz w:val="22"/>
                <w:szCs w:val="22"/>
              </w:rPr>
            </w:pPr>
            <w:r w:rsidRPr="00EC43B6">
              <w:rPr>
                <w:b/>
                <w:sz w:val="22"/>
                <w:szCs w:val="22"/>
                <w:lang w:bidi="pt-PT"/>
              </w:rPr>
              <w:t>Pergunta do inquérito</w:t>
            </w:r>
          </w:p>
        </w:tc>
        <w:tc>
          <w:tcPr>
            <w:tcW w:w="0" w:type="auto"/>
            <w:vAlign w:val="center"/>
          </w:tcPr>
          <w:p w14:paraId="6FD7CB63" w14:textId="6C99455A" w:rsidR="00404DA4" w:rsidRPr="00EC43B6" w:rsidRDefault="00EC43B6" w:rsidP="00EF0B3B">
            <w:pPr>
              <w:spacing w:after="0"/>
              <w:rPr>
                <w:b/>
                <w:sz w:val="22"/>
                <w:szCs w:val="22"/>
              </w:rPr>
            </w:pPr>
            <w:r w:rsidRPr="00EC43B6">
              <w:rPr>
                <w:b/>
                <w:sz w:val="22"/>
                <w:szCs w:val="22"/>
                <w:lang w:bidi="pt-PT"/>
              </w:rPr>
              <w:t>Associada à meta do ODS 6</w:t>
            </w:r>
          </w:p>
        </w:tc>
      </w:tr>
      <w:tr w:rsidR="0058462A" w14:paraId="661D883E" w14:textId="77777777" w:rsidTr="00EF0B3B">
        <w:tc>
          <w:tcPr>
            <w:tcW w:w="0" w:type="auto"/>
            <w:vAlign w:val="center"/>
          </w:tcPr>
          <w:p w14:paraId="2919A8C9" w14:textId="5727BB34" w:rsidR="00404DA4" w:rsidRDefault="00EC43B6" w:rsidP="00EF0B3B">
            <w:pPr>
              <w:spacing w:after="0"/>
              <w:rPr>
                <w:sz w:val="22"/>
                <w:szCs w:val="22"/>
              </w:rPr>
            </w:pPr>
            <w:r>
              <w:rPr>
                <w:sz w:val="22"/>
                <w:szCs w:val="22"/>
                <w:lang w:bidi="pt-PT"/>
              </w:rPr>
              <w:t>2.2b participação pública a nível local</w:t>
            </w:r>
          </w:p>
        </w:tc>
        <w:tc>
          <w:tcPr>
            <w:tcW w:w="0" w:type="auto"/>
            <w:vAlign w:val="center"/>
          </w:tcPr>
          <w:p w14:paraId="586CEF19" w14:textId="14E08E0F" w:rsidR="00404DA4" w:rsidRDefault="00967D4F" w:rsidP="00EF0B3B">
            <w:pPr>
              <w:spacing w:after="0"/>
              <w:rPr>
                <w:sz w:val="22"/>
                <w:szCs w:val="22"/>
              </w:rPr>
            </w:pPr>
            <w:hyperlink r:id="rId13" w:history="1">
              <w:r w:rsidR="00EC43B6" w:rsidRPr="00743CEC">
                <w:rPr>
                  <w:rStyle w:val="Hyperlink"/>
                  <w:rFonts w:cs="Calibri"/>
                  <w:sz w:val="22"/>
                  <w:szCs w:val="22"/>
                  <w:lang w:bidi="pt-PT"/>
                </w:rPr>
                <w:t>6.b</w:t>
              </w:r>
            </w:hyperlink>
            <w:r w:rsidR="00EC43B6" w:rsidRPr="00743CEC">
              <w:rPr>
                <w:rFonts w:cs="Calibri"/>
                <w:sz w:val="22"/>
                <w:szCs w:val="22"/>
                <w:lang w:bidi="pt-PT"/>
              </w:rPr>
              <w:t>: Apoiar e fortalecer a participação das comunidades locais, para melhorar a gestão da água e do saneamento.</w:t>
            </w:r>
          </w:p>
        </w:tc>
      </w:tr>
      <w:tr w:rsidR="0058462A" w14:paraId="334323DB" w14:textId="77777777" w:rsidTr="00EF0B3B">
        <w:tc>
          <w:tcPr>
            <w:tcW w:w="0" w:type="auto"/>
            <w:vAlign w:val="center"/>
          </w:tcPr>
          <w:p w14:paraId="16009D86" w14:textId="47ED693A" w:rsidR="00404DA4" w:rsidRDefault="00EC43B6" w:rsidP="00EF0B3B">
            <w:pPr>
              <w:spacing w:after="0"/>
              <w:rPr>
                <w:sz w:val="22"/>
                <w:szCs w:val="22"/>
              </w:rPr>
            </w:pPr>
            <w:r>
              <w:rPr>
                <w:sz w:val="22"/>
                <w:szCs w:val="22"/>
                <w:lang w:bidi="pt-PT"/>
              </w:rPr>
              <w:t>2.2d género na legislação/planos ou equivalente</w:t>
            </w:r>
          </w:p>
        </w:tc>
        <w:tc>
          <w:tcPr>
            <w:tcW w:w="0" w:type="auto"/>
            <w:vAlign w:val="center"/>
          </w:tcPr>
          <w:p w14:paraId="30A7DFD8" w14:textId="0B197D14" w:rsidR="00404DA4" w:rsidRDefault="0058462A" w:rsidP="00EF0B3B">
            <w:pPr>
              <w:spacing w:after="0"/>
              <w:rPr>
                <w:sz w:val="22"/>
                <w:szCs w:val="22"/>
              </w:rPr>
            </w:pPr>
            <w:r>
              <w:rPr>
                <w:sz w:val="22"/>
                <w:szCs w:val="22"/>
                <w:lang w:bidi="pt-PT"/>
              </w:rPr>
              <w:t>Pergunta 14.a no inquérito GLAAS de 2018/2019.</w:t>
            </w:r>
          </w:p>
        </w:tc>
      </w:tr>
      <w:tr w:rsidR="00EC43B6" w14:paraId="6AA20CAD" w14:textId="77777777" w:rsidTr="00EF0B3B">
        <w:tc>
          <w:tcPr>
            <w:tcW w:w="0" w:type="auto"/>
            <w:vAlign w:val="center"/>
          </w:tcPr>
          <w:p w14:paraId="31C35FDA" w14:textId="35856F57" w:rsidR="00EC43B6" w:rsidRDefault="00EC43B6" w:rsidP="00EF0B3B">
            <w:pPr>
              <w:spacing w:after="0"/>
              <w:rPr>
                <w:sz w:val="22"/>
                <w:szCs w:val="22"/>
              </w:rPr>
            </w:pPr>
            <w:r>
              <w:rPr>
                <w:sz w:val="22"/>
                <w:szCs w:val="22"/>
                <w:lang w:bidi="pt-PT"/>
              </w:rPr>
              <w:t>3.1a acompanhamento nacional da disponibilidade de água</w:t>
            </w:r>
          </w:p>
        </w:tc>
        <w:tc>
          <w:tcPr>
            <w:tcW w:w="0" w:type="auto"/>
            <w:vMerge w:val="restart"/>
            <w:vAlign w:val="center"/>
          </w:tcPr>
          <w:p w14:paraId="2F40F920" w14:textId="560C2556" w:rsidR="00EC43B6" w:rsidRDefault="00967D4F" w:rsidP="00EF0B3B">
            <w:pPr>
              <w:spacing w:after="0"/>
              <w:rPr>
                <w:sz w:val="22"/>
                <w:szCs w:val="22"/>
              </w:rPr>
            </w:pPr>
            <w:hyperlink r:id="rId14" w:history="1">
              <w:r w:rsidR="00EC43B6" w:rsidRPr="00EC43B6">
                <w:rPr>
                  <w:rStyle w:val="Hyperlink"/>
                  <w:sz w:val="22"/>
                  <w:szCs w:val="22"/>
                  <w:lang w:bidi="pt-PT"/>
                </w:rPr>
                <w:t>6.4</w:t>
              </w:r>
            </w:hyperlink>
            <w:r w:rsidR="00EC43B6" w:rsidRPr="00EC43B6">
              <w:rPr>
                <w:sz w:val="22"/>
                <w:szCs w:val="22"/>
                <w:lang w:bidi="pt-PT"/>
              </w:rPr>
              <w:t>: Até 2030, aumentar substancialmente a eficiência no uso da água em todos os setores e assegurar extrações sustentáveis e o abastecimento de água doce para enfrentar a escassez de água e reduzir substancialmente o número de pessoas que sofrem com a escassez de água.</w:t>
            </w:r>
          </w:p>
        </w:tc>
      </w:tr>
      <w:tr w:rsidR="00EC43B6" w14:paraId="1540129E" w14:textId="77777777" w:rsidTr="00EF0B3B">
        <w:tc>
          <w:tcPr>
            <w:tcW w:w="0" w:type="auto"/>
            <w:vAlign w:val="center"/>
          </w:tcPr>
          <w:p w14:paraId="65CD30B2" w14:textId="4D5F9A9B" w:rsidR="00EC43B6" w:rsidRDefault="00EC43B6" w:rsidP="00EF0B3B">
            <w:pPr>
              <w:spacing w:after="0"/>
              <w:rPr>
                <w:sz w:val="22"/>
                <w:szCs w:val="22"/>
              </w:rPr>
            </w:pPr>
            <w:r>
              <w:rPr>
                <w:sz w:val="22"/>
                <w:szCs w:val="22"/>
                <w:lang w:bidi="pt-PT"/>
              </w:rPr>
              <w:t>3.1b gestão sustentável e eficiente da utilização da água</w:t>
            </w:r>
          </w:p>
        </w:tc>
        <w:tc>
          <w:tcPr>
            <w:tcW w:w="0" w:type="auto"/>
            <w:vMerge/>
            <w:vAlign w:val="center"/>
          </w:tcPr>
          <w:p w14:paraId="0BD2136E" w14:textId="124C29AF" w:rsidR="00EC43B6" w:rsidRDefault="00EC43B6" w:rsidP="00EF0B3B">
            <w:pPr>
              <w:spacing w:after="0"/>
              <w:rPr>
                <w:sz w:val="22"/>
                <w:szCs w:val="22"/>
              </w:rPr>
            </w:pPr>
          </w:p>
        </w:tc>
      </w:tr>
      <w:tr w:rsidR="0058462A" w14:paraId="68113172" w14:textId="77777777" w:rsidTr="00EF0B3B">
        <w:tc>
          <w:tcPr>
            <w:tcW w:w="0" w:type="auto"/>
            <w:vAlign w:val="center"/>
          </w:tcPr>
          <w:p w14:paraId="5616FEF4" w14:textId="425ACD80" w:rsidR="00404DA4" w:rsidRDefault="00EC43B6" w:rsidP="00EF0B3B">
            <w:pPr>
              <w:spacing w:after="0"/>
              <w:rPr>
                <w:sz w:val="22"/>
                <w:szCs w:val="22"/>
              </w:rPr>
            </w:pPr>
            <w:r>
              <w:rPr>
                <w:sz w:val="22"/>
                <w:szCs w:val="22"/>
                <w:lang w:bidi="pt-PT"/>
              </w:rPr>
              <w:t>3.1c controlo da poluição</w:t>
            </w:r>
          </w:p>
        </w:tc>
        <w:tc>
          <w:tcPr>
            <w:tcW w:w="0" w:type="auto"/>
            <w:vAlign w:val="center"/>
          </w:tcPr>
          <w:p w14:paraId="4B3FC263" w14:textId="49A255C1" w:rsidR="00404DA4" w:rsidRDefault="00967D4F" w:rsidP="00EF0B3B">
            <w:pPr>
              <w:spacing w:after="0"/>
              <w:rPr>
                <w:sz w:val="22"/>
                <w:szCs w:val="22"/>
              </w:rPr>
            </w:pPr>
            <w:hyperlink r:id="rId15" w:history="1">
              <w:r w:rsidR="00EC43B6" w:rsidRPr="00743CEC">
                <w:rPr>
                  <w:rStyle w:val="Hyperlink"/>
                  <w:sz w:val="22"/>
                  <w:szCs w:val="22"/>
                  <w:lang w:bidi="pt-PT"/>
                </w:rPr>
                <w:t>6.3</w:t>
              </w:r>
            </w:hyperlink>
            <w:r w:rsidR="00EC43B6" w:rsidRPr="00743CEC">
              <w:rPr>
                <w:sz w:val="22"/>
                <w:szCs w:val="22"/>
                <w:lang w:bidi="pt-PT"/>
              </w:rPr>
              <w:t xml:space="preserve">: Até 2030, melhorar a qualidade da água, reduzindo a poluição, eliminando despejo e minimizando a libertação de produtos químicos e materiais perigosos, reduzindo para metade a proporção de águas residuais </w:t>
            </w:r>
            <w:r w:rsidR="00EC43B6" w:rsidRPr="00743CEC">
              <w:rPr>
                <w:sz w:val="22"/>
                <w:szCs w:val="22"/>
                <w:lang w:bidi="pt-PT"/>
              </w:rPr>
              <w:lastRenderedPageBreak/>
              <w:t>não tratadas e aumentando substancialmente a reciclagem e a reutilização, a nível global.</w:t>
            </w:r>
          </w:p>
        </w:tc>
      </w:tr>
      <w:tr w:rsidR="0058462A" w14:paraId="345DF162" w14:textId="77777777" w:rsidTr="00EF0B3B">
        <w:tc>
          <w:tcPr>
            <w:tcW w:w="0" w:type="auto"/>
            <w:vAlign w:val="center"/>
          </w:tcPr>
          <w:p w14:paraId="76A2C850" w14:textId="3271E792" w:rsidR="00404DA4" w:rsidRDefault="00EC43B6" w:rsidP="00EF0B3B">
            <w:pPr>
              <w:spacing w:after="0"/>
              <w:rPr>
                <w:sz w:val="22"/>
                <w:szCs w:val="22"/>
              </w:rPr>
            </w:pPr>
            <w:r>
              <w:rPr>
                <w:sz w:val="22"/>
                <w:szCs w:val="22"/>
                <w:lang w:bidi="pt-PT"/>
              </w:rPr>
              <w:lastRenderedPageBreak/>
              <w:t>3.1d gestão de ecossistemas relacionados com a água</w:t>
            </w:r>
          </w:p>
        </w:tc>
        <w:tc>
          <w:tcPr>
            <w:tcW w:w="0" w:type="auto"/>
            <w:vAlign w:val="center"/>
          </w:tcPr>
          <w:p w14:paraId="5DEBA676" w14:textId="1907B603" w:rsidR="00404DA4" w:rsidRDefault="00967D4F" w:rsidP="00EF0B3B">
            <w:pPr>
              <w:spacing w:after="0"/>
              <w:rPr>
                <w:sz w:val="22"/>
                <w:szCs w:val="22"/>
              </w:rPr>
            </w:pPr>
            <w:hyperlink r:id="rId16" w:history="1">
              <w:r w:rsidR="00EC43B6" w:rsidRPr="00743CEC">
                <w:rPr>
                  <w:rStyle w:val="Hyperlink"/>
                  <w:sz w:val="22"/>
                  <w:szCs w:val="22"/>
                  <w:lang w:bidi="pt-PT"/>
                </w:rPr>
                <w:t>6.6</w:t>
              </w:r>
            </w:hyperlink>
            <w:r w:rsidR="00EC43B6" w:rsidRPr="00743CEC">
              <w:rPr>
                <w:sz w:val="22"/>
                <w:szCs w:val="22"/>
                <w:lang w:bidi="pt-PT"/>
              </w:rPr>
              <w:t>: Até 2020, proteger e restaurar ecossistemas relacionados com a água, incluindo montanhas, florestas, zonas húmidas, rios, aquíferos e lagos.</w:t>
            </w:r>
          </w:p>
        </w:tc>
      </w:tr>
      <w:tr w:rsidR="0058462A" w14:paraId="350E5D52" w14:textId="77777777" w:rsidTr="00EF0B3B">
        <w:tc>
          <w:tcPr>
            <w:tcW w:w="0" w:type="auto"/>
            <w:vAlign w:val="center"/>
          </w:tcPr>
          <w:p w14:paraId="13020164" w14:textId="6FCB3A6D" w:rsidR="00404DA4" w:rsidRDefault="00EC43B6" w:rsidP="00EF0B3B">
            <w:pPr>
              <w:spacing w:after="0"/>
              <w:rPr>
                <w:sz w:val="22"/>
                <w:szCs w:val="22"/>
              </w:rPr>
            </w:pPr>
            <w:r>
              <w:rPr>
                <w:sz w:val="22"/>
                <w:szCs w:val="22"/>
                <w:lang w:bidi="pt-PT"/>
              </w:rPr>
              <w:t>3.1e instrumentos de gestão para reduzir os impactos das catástrofes relacionadas com a água</w:t>
            </w:r>
          </w:p>
        </w:tc>
        <w:tc>
          <w:tcPr>
            <w:tcW w:w="0" w:type="auto"/>
            <w:vAlign w:val="center"/>
          </w:tcPr>
          <w:p w14:paraId="4EFC0310" w14:textId="270D06C9" w:rsidR="00404DA4" w:rsidRDefault="00967D4F" w:rsidP="00EF0B3B">
            <w:pPr>
              <w:spacing w:after="0"/>
              <w:rPr>
                <w:sz w:val="22"/>
                <w:szCs w:val="22"/>
              </w:rPr>
            </w:pPr>
            <w:hyperlink r:id="rId17" w:history="1">
              <w:r w:rsidR="00EC43B6" w:rsidRPr="00D139A2">
                <w:rPr>
                  <w:rStyle w:val="Hyperlink"/>
                  <w:sz w:val="22"/>
                  <w:szCs w:val="22"/>
                  <w:lang w:bidi="pt-PT"/>
                </w:rPr>
                <w:t>11.5</w:t>
              </w:r>
            </w:hyperlink>
            <w:r w:rsidR="00EC43B6" w:rsidRPr="00743CEC">
              <w:rPr>
                <w:sz w:val="22"/>
                <w:szCs w:val="22"/>
                <w:lang w:bidi="pt-PT"/>
              </w:rPr>
              <w:t>: Até 2030, reduzir significativamente o número de mortes e o número de pessoas afetadas por catástrofes e diminuir substancialmente as perdas económicas diretas causadas por essa via no produto interno bruto global, incluindo as catástrofes relacionadas com a água, com uma atenção à proteção dos pobres e das pessoas em situações de vulnerabilidade</w:t>
            </w:r>
          </w:p>
        </w:tc>
      </w:tr>
    </w:tbl>
    <w:p w14:paraId="414E7FCB" w14:textId="2B0D557E" w:rsidR="000D3DBD" w:rsidRPr="00743CEC" w:rsidRDefault="007C1623" w:rsidP="00575135">
      <w:pPr>
        <w:pStyle w:val="ListParagraph"/>
        <w:numPr>
          <w:ilvl w:val="0"/>
          <w:numId w:val="11"/>
        </w:numPr>
        <w:spacing w:before="120" w:after="0"/>
        <w:ind w:left="714" w:hanging="357"/>
        <w:jc w:val="both"/>
        <w:rPr>
          <w:rFonts w:eastAsia="Times New Roman" w:cs="Times New Roman"/>
          <w:sz w:val="22"/>
          <w:szCs w:val="22"/>
        </w:rPr>
      </w:pPr>
      <w:r w:rsidRPr="00743CEC">
        <w:rPr>
          <w:rFonts w:eastAsia="Times New Roman" w:cs="Times New Roman"/>
          <w:b/>
          <w:sz w:val="22"/>
          <w:szCs w:val="22"/>
          <w:lang w:bidi="pt-PT"/>
        </w:rPr>
        <w:t xml:space="preserve">Ferramentas e documentos de apoio: </w:t>
      </w:r>
    </w:p>
    <w:p w14:paraId="602523AE" w14:textId="737EEAA8" w:rsidR="000D3DBD" w:rsidRPr="00743CEC" w:rsidRDefault="000D3DBD"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pt-PT"/>
        </w:rPr>
        <w:t xml:space="preserve">O instrumento de inquérito está disponível no formato Microsoft Word, que pode ser facilmente partilhado com as partes interessadas eletronicamente ou em papel. </w:t>
      </w:r>
    </w:p>
    <w:p w14:paraId="1AF5B274" w14:textId="68D84620" w:rsidR="006E5E63" w:rsidRPr="00743CEC" w:rsidRDefault="00F66A02"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pt-PT"/>
        </w:rPr>
        <w:t xml:space="preserve">Está igualmente disponível uma “folha informativa” com os resultados de base em relação aos países que responderam ao instrumento de inquérito de base. Esta pode servir de ponto de partida para o debate, bem como para suscitar o interesse de diversas partes interessadas no processo. </w:t>
      </w:r>
    </w:p>
    <w:p w14:paraId="3E07DC2A" w14:textId="2C22D187" w:rsidR="00DF586A" w:rsidRPr="00743CEC" w:rsidRDefault="002609E8" w:rsidP="00FD1938">
      <w:pPr>
        <w:pStyle w:val="ListParagraph"/>
        <w:numPr>
          <w:ilvl w:val="0"/>
          <w:numId w:val="11"/>
        </w:numPr>
        <w:spacing w:after="0"/>
        <w:jc w:val="both"/>
        <w:rPr>
          <w:sz w:val="22"/>
          <w:szCs w:val="22"/>
        </w:rPr>
      </w:pPr>
      <w:r w:rsidRPr="00743CEC">
        <w:rPr>
          <w:rFonts w:eastAsia="Times New Roman" w:cs="Times New Roman"/>
          <w:b/>
          <w:sz w:val="22"/>
          <w:szCs w:val="22"/>
          <w:lang w:bidi="pt-PT"/>
        </w:rPr>
        <w:t xml:space="preserve">Línguas: </w:t>
      </w:r>
      <w:r w:rsidRPr="00743CEC">
        <w:rPr>
          <w:rFonts w:eastAsia="Times New Roman" w:cs="Times New Roman"/>
          <w:sz w:val="22"/>
          <w:szCs w:val="22"/>
          <w:lang w:bidi="pt-PT"/>
        </w:rPr>
        <w:t xml:space="preserve">este guia de acompanhamento e o </w:t>
      </w:r>
      <w:bookmarkStart w:id="0" w:name="_Hlk19614030"/>
      <w:r w:rsidRPr="00743CEC">
        <w:rPr>
          <w:rFonts w:eastAsia="Times New Roman" w:cs="Times New Roman"/>
          <w:sz w:val="22"/>
          <w:szCs w:val="22"/>
          <w:lang w:bidi="pt-PT"/>
        </w:rPr>
        <w:t xml:space="preserve">instrumento de inquérito encontram-se disponíveis em ONU Meio Ambiente em seis línguas da ONU (arábico, chinês, inglês, francês, russo e espanhol) e em português. </w:t>
      </w:r>
      <w:bookmarkEnd w:id="0"/>
    </w:p>
    <w:p w14:paraId="480C9972" w14:textId="605D6F99" w:rsidR="00590700" w:rsidRPr="00743CEC" w:rsidRDefault="000B5851" w:rsidP="00BB44C5">
      <w:pPr>
        <w:ind w:left="284"/>
        <w:rPr>
          <w:rFonts w:eastAsia="Times New Roman" w:cs="Times New Roman"/>
          <w:sz w:val="22"/>
          <w:szCs w:val="22"/>
        </w:rPr>
      </w:pPr>
      <w:r w:rsidRPr="00743CEC">
        <w:rPr>
          <w:noProof/>
          <w:sz w:val="22"/>
          <w:szCs w:val="22"/>
          <w:lang w:bidi="pt-PT"/>
        </w:rPr>
        <mc:AlternateContent>
          <mc:Choice Requires="wps">
            <w:drawing>
              <wp:inline distT="0" distB="0" distL="0" distR="0" wp14:anchorId="2EFC67C7" wp14:editId="0A52A37D">
                <wp:extent cx="6312535" cy="2370125"/>
                <wp:effectExtent l="0" t="0" r="37465" b="17780"/>
                <wp:docPr id="2" name="Text Box 2"/>
                <wp:cNvGraphicFramePr/>
                <a:graphic xmlns:a="http://schemas.openxmlformats.org/drawingml/2006/main">
                  <a:graphicData uri="http://schemas.microsoft.com/office/word/2010/wordprocessingShape">
                    <wps:wsp>
                      <wps:cNvSpPr txBox="1"/>
                      <wps:spPr>
                        <a:xfrm>
                          <a:off x="0" y="0"/>
                          <a:ext cx="6312535" cy="237012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1E1E11" w:rsidRDefault="002F2C0A" w:rsidP="000B5851">
                            <w:pPr>
                              <w:rPr>
                                <w:b/>
                              </w:rPr>
                            </w:pPr>
                            <w:r w:rsidRPr="00FD1938">
                              <w:rPr>
                                <w:b/>
                                <w:lang w:bidi="pt-PT"/>
                              </w:rPr>
                              <w:t>Caixa 1: processo nacional do Uganda durante o período experimental como fonte de inspiração</w:t>
                            </w:r>
                          </w:p>
                          <w:p w14:paraId="5153FD26" w14:textId="77777777" w:rsidR="002F2C0A" w:rsidRPr="001E1E11" w:rsidRDefault="002F2C0A" w:rsidP="000B5851">
                            <w:pPr>
                              <w:rPr>
                                <w:bCs/>
                              </w:rPr>
                            </w:pPr>
                            <w:r w:rsidRPr="00FD1938">
                              <w:rPr>
                                <w:lang w:bidi="pt-PT"/>
                              </w:rPr>
                              <w:t xml:space="preserve">O processo nacional foi coordenado pela Direção-Geral de Gestão de Recursos Hídricos (DWRM) do Ministério da Água e do Ambiente. </w:t>
                            </w:r>
                          </w:p>
                          <w:p w14:paraId="4CAF3480" w14:textId="6D3B41D0" w:rsidR="002F2C0A" w:rsidRPr="001E1E11" w:rsidRDefault="002F2C0A" w:rsidP="000B5851">
                            <w:pPr>
                              <w:rPr>
                                <w:bCs/>
                              </w:rPr>
                            </w:pPr>
                            <w:r w:rsidRPr="00FD1938">
                              <w:rPr>
                                <w:lang w:bidi="pt-PT"/>
                              </w:rPr>
                              <w:t xml:space="preserve">Etapa 1: foi criada uma equipa operacional com representantes de um conjunto de setores e partes interessadas. </w:t>
                            </w:r>
                          </w:p>
                          <w:p w14:paraId="1C7D4E1E" w14:textId="581D9AF3" w:rsidR="002F2C0A" w:rsidRPr="001E1E11" w:rsidRDefault="002F2C0A" w:rsidP="000B5851">
                            <w:pPr>
                              <w:rPr>
                                <w:bCs/>
                              </w:rPr>
                            </w:pPr>
                            <w:r w:rsidRPr="00FD1938">
                              <w:rPr>
                                <w:lang w:bidi="pt-PT"/>
                              </w:rPr>
                              <w:t xml:space="preserve">Etapa 2: um conjunto de partes interessadas respondeu ao inquérito em inúmeras consultas formais e informais através de correio eletrónico, chamadas telefónicas e preenchimento manual. </w:t>
                            </w:r>
                          </w:p>
                          <w:p w14:paraId="1C116441" w14:textId="3EAB0FCB" w:rsidR="002F2C0A" w:rsidRPr="001E1E11" w:rsidRDefault="002F2C0A" w:rsidP="000B5851">
                            <w:pPr>
                              <w:rPr>
                                <w:bCs/>
                              </w:rPr>
                            </w:pPr>
                            <w:r w:rsidRPr="00FD1938">
                              <w:rPr>
                                <w:lang w:bidi="pt-PT"/>
                              </w:rPr>
                              <w:t xml:space="preserve">Etapa 3: os resultados dos vários inquéritos foram compilados e analisados pela equipa operacional, incluindo a variação entre as respostas a perguntas individuais. </w:t>
                            </w:r>
                          </w:p>
                          <w:p w14:paraId="222EBCCE" w14:textId="4F0890A1" w:rsidR="002F2C0A" w:rsidRPr="001E1E11" w:rsidRDefault="002F2C0A" w:rsidP="000B5851">
                            <w:r w:rsidRPr="00FD1938">
                              <w:rPr>
                                <w:lang w:bidi="pt-PT"/>
                              </w:rPr>
                              <w:t xml:space="preserve">Etapa 4: foi conduzida uma oficina alargada que envolveu numerosas partes interessadas para discutir os resultados e chegar a consenso sobre as respostas finais.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97.05pt;height:18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" filled="f" strokecolor="black [3213]">
                <v:textbox>
                  <w:txbxContent>
                    <w:p w14:paraId="113A8D1C" w14:textId="7A280B02" w:rsidR="002F2C0A" w:rsidRPr="001E1E11" w:rsidRDefault="002F2C0A" w:rsidP="000B5851">
                      <w:pPr>
                        <w:rPr>
                          <w:b/>
                        </w:rPr>
                      </w:pPr>
                      <w:r w:rsidRPr="00FD1938">
                        <w:rPr>
                          <w:b/>
                          <w:lang w:bidi="pt-PT"/>
                        </w:rPr>
                        <w:t>Caixa 1: processo nacional do Uganda durante o período experimental como fonte de inspiração</w:t>
                      </w:r>
                    </w:p>
                    <w:p w14:paraId="5153FD26" w14:textId="77777777" w:rsidR="002F2C0A" w:rsidRPr="001E1E11" w:rsidRDefault="002F2C0A" w:rsidP="000B5851">
                      <w:pPr>
                        <w:rPr>
                          <w:bCs/>
                        </w:rPr>
                      </w:pPr>
                      <w:r w:rsidRPr="00FD1938">
                        <w:rPr>
                          <w:lang w:bidi="pt-PT"/>
                        </w:rPr>
                        <w:t xml:space="preserve">O processo nacional foi coordenado pela Direção-Geral de Gestão de Recursos Hídricos (DWRM) do Ministério da Água e do Ambiente. </w:t>
                      </w:r>
                    </w:p>
                    <w:p w14:paraId="4CAF3480" w14:textId="6D3B41D0" w:rsidR="002F2C0A" w:rsidRPr="001E1E11" w:rsidRDefault="002F2C0A" w:rsidP="000B5851">
                      <w:pPr>
                        <w:rPr>
                          <w:bCs/>
                        </w:rPr>
                      </w:pPr>
                      <w:r w:rsidRPr="00FD1938">
                        <w:rPr>
                          <w:lang w:bidi="pt-PT"/>
                        </w:rPr>
                        <w:t xml:space="preserve">Etapa 1: foi criada uma equipa operacional com representantes de um conjunto de setores e partes interessadas. </w:t>
                      </w:r>
                    </w:p>
                    <w:p w14:paraId="1C7D4E1E" w14:textId="581D9AF3" w:rsidR="002F2C0A" w:rsidRPr="001E1E11" w:rsidRDefault="002F2C0A" w:rsidP="000B5851">
                      <w:pPr>
                        <w:rPr>
                          <w:bCs/>
                        </w:rPr>
                      </w:pPr>
                      <w:r w:rsidRPr="00FD1938">
                        <w:rPr>
                          <w:lang w:bidi="pt-PT"/>
                        </w:rPr>
                        <w:t xml:space="preserve">Etapa 2: um conjunto de partes interessadas respondeu ao inquérito em inúmeras consultas formais e informais através de correio eletrónico, chamadas telefónicas e preenchimento manual. </w:t>
                      </w:r>
                    </w:p>
                    <w:p w14:paraId="1C116441" w14:textId="3EAB0FCB" w:rsidR="002F2C0A" w:rsidRPr="001E1E11" w:rsidRDefault="002F2C0A" w:rsidP="000B5851">
                      <w:pPr>
                        <w:rPr>
                          <w:bCs/>
                        </w:rPr>
                      </w:pPr>
                      <w:r w:rsidRPr="00FD1938">
                        <w:rPr>
                          <w:lang w:bidi="pt-PT"/>
                        </w:rPr>
                        <w:t xml:space="preserve">Etapa 3: os resultados dos vários inquéritos foram compilados e analisados pela equipa operacional, incluindo a variação entre as respostas a perguntas individuais. </w:t>
                      </w:r>
                    </w:p>
                    <w:p w14:paraId="222EBCCE" w14:textId="4F0890A1" w:rsidR="002F2C0A" w:rsidRPr="001E1E11" w:rsidRDefault="002F2C0A" w:rsidP="000B5851">
                      <w:r w:rsidRPr="00FD1938">
                        <w:rPr>
                          <w:lang w:bidi="pt-PT"/>
                        </w:rPr>
                        <w:t xml:space="preserve">Etapa 4: foi conduzida uma oficina alargada que envolveu numerosas partes interessadas para discutir os resultados e chegar a consenso sobre as respostas finais. </w:t>
                      </w:r>
                    </w:p>
                  </w:txbxContent>
                </v:textbox>
                <w10:anchorlock/>
              </v:shape>
            </w:pict>
          </mc:Fallback>
        </mc:AlternateContent>
      </w:r>
    </w:p>
    <w:p w14:paraId="63FBA27E" w14:textId="3B387EA7" w:rsidR="00B278A6" w:rsidRPr="00743CEC" w:rsidRDefault="00B278A6" w:rsidP="00AC3EAC">
      <w:pPr>
        <w:rPr>
          <w:sz w:val="22"/>
          <w:szCs w:val="22"/>
          <w:lang w:val="en-GB"/>
        </w:rPr>
      </w:pPr>
    </w:p>
    <w:p w14:paraId="50D094B6" w14:textId="3156BCF7" w:rsidR="00AC3EAC" w:rsidRPr="00743CEC" w:rsidRDefault="00777A7D" w:rsidP="00AB2845">
      <w:pPr>
        <w:pStyle w:val="Heading1"/>
      </w:pPr>
      <w:r w:rsidRPr="00743CEC">
        <w:rPr>
          <w:lang w:val="pt-PT" w:bidi="pt-PT"/>
        </w:rPr>
        <w:t>Definição de metas</w:t>
      </w:r>
    </w:p>
    <w:p w14:paraId="6D6C043F" w14:textId="3E046A44" w:rsidR="00F8146D" w:rsidRPr="001E1E11" w:rsidRDefault="00F8146D" w:rsidP="006D537B">
      <w:pPr>
        <w:jc w:val="both"/>
        <w:rPr>
          <w:sz w:val="22"/>
          <w:szCs w:val="22"/>
        </w:rPr>
      </w:pPr>
      <w:r w:rsidRPr="00743CEC">
        <w:rPr>
          <w:sz w:val="22"/>
          <w:szCs w:val="22"/>
          <w:lang w:bidi="pt-PT"/>
        </w:rPr>
        <w:t xml:space="preserve">O objetivo global a atingir relativo ao indicador 6.5.1 é alcançar um nível “muito elevado” de implementação (pontuação de 91-100) até 2030. No entanto, dado que a plena implementação da GIRH pode demorar décadas e os países têm diferentes pontos de partida, prioridades e capacidades, os países podem desejar definir as suas próprias metas nacionais em função do grau de ambição global, embora tendo em conta as circunstâncias nacionais (ver caixa 2). </w:t>
      </w:r>
    </w:p>
    <w:p w14:paraId="63EBD760" w14:textId="77777777" w:rsidR="00F8146D" w:rsidRPr="001E1E11" w:rsidRDefault="00F8146D" w:rsidP="006D537B">
      <w:pPr>
        <w:jc w:val="both"/>
        <w:rPr>
          <w:sz w:val="22"/>
          <w:szCs w:val="22"/>
        </w:rPr>
      </w:pPr>
      <w:r w:rsidRPr="00743CEC">
        <w:rPr>
          <w:sz w:val="22"/>
          <w:szCs w:val="22"/>
          <w:lang w:bidi="pt-PT"/>
        </w:rPr>
        <w:t xml:space="preserve">Se bem que não seja uma exigência do processo de comunicação de informações para a ronda 2 da recolha de dados sobre o indicador 6.5.1, a definição de metas nacionais facilitará e acelerará o progresso na implementação da GIRH no sentido da concretização da meta 6.5 do ODS 6. No âmbito de processos de planeamento mais alargados a nível nacional, podem ser definidas metas para a pontuação global do indicador (implementação da GIRH) e/ou </w:t>
      </w:r>
      <w:r w:rsidRPr="00743CEC">
        <w:rPr>
          <w:sz w:val="22"/>
          <w:szCs w:val="22"/>
          <w:lang w:bidi="pt-PT"/>
        </w:rPr>
        <w:lastRenderedPageBreak/>
        <w:t xml:space="preserve">para as perguntas individuais. Podem ser definidas metas para 2030, metas finais após 2030 e metas intercalares. Sempre que existam metas, estas podem ser explicadas nos campos “caminho a seguir” de cada pergunta e/ou no anexo C relativo a metas mais abrangentes. </w:t>
      </w:r>
    </w:p>
    <w:p w14:paraId="1CFB7E24" w14:textId="5482E045" w:rsidR="0075651E" w:rsidRDefault="009E6338" w:rsidP="00F8146D">
      <w:pPr>
        <w:rPr>
          <w:sz w:val="22"/>
          <w:szCs w:val="22"/>
          <w:lang w:val="en-GB"/>
        </w:rPr>
      </w:pPr>
      <w:r>
        <w:rPr>
          <w:noProof/>
          <w:sz w:val="22"/>
          <w:szCs w:val="22"/>
          <w:lang w:bidi="pt-PT"/>
        </w:rPr>
        <mc:AlternateContent>
          <mc:Choice Requires="wps">
            <w:drawing>
              <wp:inline distT="0" distB="0" distL="0" distR="0" wp14:anchorId="62A9ED2F" wp14:editId="57824FAB">
                <wp:extent cx="6515100" cy="916940"/>
                <wp:effectExtent l="0" t="0" r="38100" b="31750"/>
                <wp:docPr id="3" name="Text Box 3"/>
                <wp:cNvGraphicFramePr/>
                <a:graphic xmlns:a="http://schemas.openxmlformats.org/drawingml/2006/main">
                  <a:graphicData uri="http://schemas.microsoft.com/office/word/2010/wordprocessingShape">
                    <wps:wsp>
                      <wps:cNvSpPr txBox="1"/>
                      <wps:spPr>
                        <a:xfrm>
                          <a:off x="0" y="0"/>
                          <a:ext cx="651510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5E08873" w14:textId="77777777" w:rsidR="009E6338" w:rsidRPr="001E1E11" w:rsidRDefault="009E6338" w:rsidP="009E6338">
                            <w:pPr>
                              <w:rPr>
                                <w:b/>
                              </w:rPr>
                            </w:pPr>
                            <w:r w:rsidRPr="00F013BF">
                              <w:rPr>
                                <w:b/>
                                <w:lang w:bidi="pt-PT"/>
                              </w:rPr>
                              <w:t>Caixa 2: extrato da Agenda 2030, parágrafo 55.</w:t>
                            </w:r>
                          </w:p>
                          <w:p w14:paraId="019F5B87" w14:textId="31DF681D" w:rsidR="009E6338" w:rsidRDefault="009E6338" w:rsidP="009E6338">
                            <w:r w:rsidRPr="0054448C">
                              <w:rPr>
                                <w:lang w:bidi="pt-PT"/>
                              </w:rPr>
                              <w:t>Os objetivos e metas de desenvolvimento sustentável são integrados e indivisíveis, globais por natureza e universalmente aplicáveis, tendo em conta diferentes realidades, capacidades e níveis de desenvolvimento nacionais e respeitando as políticas e prioridades nacionais. As metas são definidas como metas a atingir e metas globais, em que cada governo define as suas próprias metas nacionais em função do grau de ambição global, embora tendo em conta as circunstâncias nacionais. Cada governo decide igualmente de que modo estas metas a atingir e globais devem ser incorporadas nos processos de planeamento, políticas e estratégias nacionais. É importante reconhecer a ligação entre o desenvolvimento sustentável e outros processos pertinentes em curso nos domínios económico, social e ambiental.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2A9ED2F" id="Text Box 3" o:spid="_x0000_s1027" type="#_x0000_t202" style="width:513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" filled="f" strokecolor="black [3213]">
                <v:textbox style="mso-fit-shape-to-text:t">
                  <w:txbxContent>
                    <w:p w14:paraId="25E08873" w14:textId="77777777" w:rsidR="009E6338" w:rsidRPr="001E1E11" w:rsidRDefault="009E6338" w:rsidP="009E6338">
                      <w:pPr>
                        <w:rPr>
                          <w:b/>
                        </w:rPr>
                      </w:pPr>
                      <w:r w:rsidRPr="00F013BF">
                        <w:rPr>
                          <w:b/>
                          <w:lang w:bidi="pt-PT"/>
                        </w:rPr>
                        <w:t>Caixa 2: extrato da Agenda 2030, parágrafo 55.</w:t>
                      </w:r>
                    </w:p>
                    <w:p w14:paraId="019F5B87" w14:textId="31DF681D" w:rsidR="009E6338" w:rsidRDefault="009E6338" w:rsidP="009E6338">
                      <w:r w:rsidRPr="0054448C">
                        <w:rPr>
                          <w:lang w:bidi="pt-PT"/>
                        </w:rPr>
                        <w:t>Os objetivos e metas de desenvolvimento sustentável são integrados e indivisíveis, globais por natureza e universalmente aplicáveis, tendo em conta diferentes realidades, capacidades e níveis de desenvolvimento nacionais e respeitando as políticas e prioridades nacionais. As metas são definidas como metas a atingir e metas globais, em que cada governo define as suas próprias metas nacionais em função do grau de ambição global, embora tendo em conta as circunstâncias nacionais. Cada governo decide igualmente de que modo estas metas a atingir e globais devem ser incorporadas nos processos de planeamento, políticas e estratégias nacionais. É importante reconhecer a ligação entre o desenvolvimento sustentável e outros processos pertinentes em curso nos domínios económico, social e ambiental.</w:t>
                      </w:r>
                    </w:p>
                  </w:txbxContent>
                </v:textbox>
                <w10:anchorlock/>
              </v:shape>
            </w:pict>
          </mc:Fallback>
        </mc:AlternateContent>
      </w:r>
    </w:p>
    <w:p w14:paraId="69B26CB1" w14:textId="086A8FF5" w:rsidR="00F8146D" w:rsidRPr="001E1E11" w:rsidRDefault="00F8146D" w:rsidP="006D537B">
      <w:pPr>
        <w:jc w:val="both"/>
        <w:rPr>
          <w:sz w:val="22"/>
          <w:szCs w:val="22"/>
        </w:rPr>
      </w:pPr>
      <w:r w:rsidRPr="00743CEC">
        <w:rPr>
          <w:sz w:val="22"/>
          <w:szCs w:val="22"/>
          <w:lang w:bidi="pt-PT"/>
        </w:rPr>
        <w:t xml:space="preserve">Um dos principais benefícios do inquérito aos países reside na possibilidade de desagregar os dados por componente e por pergunta, o que pode ser utilizado pelos países para permitir uma rápida avaliação dos aspetos da GIRH que estão a progredir de forma positiva e dos aspetos que poderão exigir um esforço suplementar. </w:t>
      </w:r>
    </w:p>
    <w:p w14:paraId="7D00B4F0" w14:textId="4BBE15D4" w:rsidR="00F8146D" w:rsidRPr="001E1E11" w:rsidRDefault="00F8146D" w:rsidP="006D537B">
      <w:pPr>
        <w:jc w:val="both"/>
        <w:rPr>
          <w:sz w:val="22"/>
          <w:szCs w:val="22"/>
        </w:rPr>
      </w:pPr>
      <w:r w:rsidRPr="00743CEC">
        <w:rPr>
          <w:sz w:val="22"/>
          <w:szCs w:val="22"/>
          <w:lang w:bidi="pt-PT"/>
        </w:rPr>
        <w:t xml:space="preserve">Uma interpretação geral da </w:t>
      </w:r>
      <w:r w:rsidRPr="00743CEC">
        <w:rPr>
          <w:sz w:val="22"/>
          <w:szCs w:val="22"/>
          <w:u w:val="single"/>
          <w:lang w:bidi="pt-PT"/>
        </w:rPr>
        <w:t>pontuação global</w:t>
      </w:r>
      <w:r w:rsidRPr="00743CEC">
        <w:rPr>
          <w:sz w:val="22"/>
          <w:szCs w:val="22"/>
          <w:lang w:bidi="pt-PT"/>
        </w:rPr>
        <w:t xml:space="preserve"> poderá ser a seguinte, com base no “grau de implementação da GIRH”. </w:t>
      </w:r>
      <w:r w:rsidRPr="00743CEC">
        <w:rPr>
          <w:b/>
          <w:sz w:val="22"/>
          <w:szCs w:val="22"/>
          <w:lang w:bidi="pt-PT"/>
        </w:rPr>
        <w:t>No entanto, é apresentada no inquérito uma interpretação mais específica para cada pergunta.</w:t>
      </w:r>
      <w:r w:rsidRPr="00743CEC">
        <w:rPr>
          <w:sz w:val="22"/>
          <w:szCs w:val="22"/>
          <w:lang w:bidi="pt-PT"/>
        </w:rPr>
        <w:t xml:space="preserve"> </w:t>
      </w:r>
    </w:p>
    <w:p w14:paraId="1F2A57F2" w14:textId="42D81005" w:rsidR="00F8146D" w:rsidRPr="001E1E11" w:rsidRDefault="00F8146D" w:rsidP="00F8146D">
      <w:pPr>
        <w:pStyle w:val="ListParagraph"/>
        <w:numPr>
          <w:ilvl w:val="0"/>
          <w:numId w:val="12"/>
        </w:numPr>
        <w:rPr>
          <w:sz w:val="22"/>
          <w:szCs w:val="22"/>
        </w:rPr>
      </w:pPr>
      <w:r w:rsidRPr="00743CEC">
        <w:rPr>
          <w:sz w:val="22"/>
          <w:szCs w:val="22"/>
          <w:lang w:bidi="pt-PT"/>
        </w:rPr>
        <w:t xml:space="preserve">0 – 10: muito baixa: em geral, o desenvolvimento de elementos da GIRH ainda não começou ou estagnou. </w:t>
      </w:r>
    </w:p>
    <w:p w14:paraId="367CA306" w14:textId="77777777" w:rsidR="00F8146D" w:rsidRPr="001E1E11" w:rsidRDefault="00F8146D" w:rsidP="00F8146D">
      <w:pPr>
        <w:pStyle w:val="ListParagraph"/>
        <w:numPr>
          <w:ilvl w:val="0"/>
          <w:numId w:val="12"/>
        </w:numPr>
        <w:rPr>
          <w:sz w:val="22"/>
          <w:szCs w:val="22"/>
        </w:rPr>
      </w:pPr>
      <w:r w:rsidRPr="00743CEC">
        <w:rPr>
          <w:sz w:val="22"/>
          <w:szCs w:val="22"/>
          <w:lang w:bidi="pt-PT"/>
        </w:rPr>
        <w:t xml:space="preserve">11 – 30: baixa: em geral, o desenvolvimento de elementos da GIRH começou, mas com uma adesão limitada no país e um envolvimento potencialmente baixo dos grupos de partes interessadas. </w:t>
      </w:r>
    </w:p>
    <w:p w14:paraId="6686FB4A" w14:textId="77777777" w:rsidR="00F8146D" w:rsidRPr="001E1E11" w:rsidRDefault="00F8146D" w:rsidP="00F8146D">
      <w:pPr>
        <w:pStyle w:val="ListParagraph"/>
        <w:numPr>
          <w:ilvl w:val="0"/>
          <w:numId w:val="12"/>
        </w:numPr>
        <w:rPr>
          <w:sz w:val="22"/>
          <w:szCs w:val="22"/>
        </w:rPr>
      </w:pPr>
      <w:r w:rsidRPr="00743CEC">
        <w:rPr>
          <w:sz w:val="22"/>
          <w:szCs w:val="22"/>
          <w:lang w:bidi="pt-PT"/>
        </w:rPr>
        <w:t xml:space="preserve">31 – 50: média-baixa: em geral, estão institucionalizados elementos da GIRH e a implementação está em curso. </w:t>
      </w:r>
    </w:p>
    <w:p w14:paraId="6363251D" w14:textId="6AECC90C" w:rsidR="00F8146D" w:rsidRPr="001E1E11" w:rsidRDefault="00F8146D" w:rsidP="00F8146D">
      <w:pPr>
        <w:pStyle w:val="ListParagraph"/>
        <w:numPr>
          <w:ilvl w:val="0"/>
          <w:numId w:val="12"/>
        </w:numPr>
        <w:rPr>
          <w:sz w:val="22"/>
          <w:szCs w:val="22"/>
        </w:rPr>
      </w:pPr>
      <w:r w:rsidRPr="00743CEC">
        <w:rPr>
          <w:sz w:val="22"/>
          <w:szCs w:val="22"/>
          <w:lang w:bidi="pt-PT"/>
        </w:rPr>
        <w:t xml:space="preserve">51 – 70: média-alta: em geral, a capacidade para implementar elementos da GIRH é adequada e estes estão a ser implementados no âmbito de programas de longo prazo. </w:t>
      </w:r>
    </w:p>
    <w:p w14:paraId="6D93C491" w14:textId="77777777" w:rsidR="00F8146D" w:rsidRPr="001E1E11" w:rsidRDefault="00F8146D" w:rsidP="00F8146D">
      <w:pPr>
        <w:pStyle w:val="ListParagraph"/>
        <w:numPr>
          <w:ilvl w:val="0"/>
          <w:numId w:val="12"/>
        </w:numPr>
        <w:rPr>
          <w:sz w:val="22"/>
          <w:szCs w:val="22"/>
        </w:rPr>
      </w:pPr>
      <w:r w:rsidRPr="00743CEC">
        <w:rPr>
          <w:sz w:val="22"/>
          <w:szCs w:val="22"/>
          <w:lang w:bidi="pt-PT"/>
        </w:rPr>
        <w:t xml:space="preserve">71 – 90: alta: em geral, os objetivos de GIRH dos planos e dos programas estão a ser cumpridos e a cobertura geográfica, bem como o envolvimento das partes interessadas, são no geral positivos. </w:t>
      </w:r>
    </w:p>
    <w:p w14:paraId="58E8D241" w14:textId="64945471" w:rsidR="00F8146D" w:rsidRPr="001E1E11" w:rsidRDefault="00F8146D" w:rsidP="00F8146D">
      <w:pPr>
        <w:pStyle w:val="ListParagraph"/>
        <w:numPr>
          <w:ilvl w:val="0"/>
          <w:numId w:val="12"/>
        </w:numPr>
        <w:rPr>
          <w:sz w:val="22"/>
          <w:szCs w:val="22"/>
        </w:rPr>
      </w:pPr>
      <w:r w:rsidRPr="00743CEC">
        <w:rPr>
          <w:sz w:val="22"/>
          <w:szCs w:val="22"/>
          <w:lang w:bidi="pt-PT"/>
        </w:rPr>
        <w:t xml:space="preserve">91 – 100: muito alta. a grande maioria dos elementos da GIRH está plenamente implementada, com os objetivos consistentemente alcançados e os planos e programas periodicamente avaliados e revistos. </w:t>
      </w:r>
    </w:p>
    <w:p w14:paraId="0D4E81F1" w14:textId="7E550260" w:rsidR="007D6DEA" w:rsidRPr="001E1E11" w:rsidRDefault="007D6DEA" w:rsidP="0058462A">
      <w:pPr>
        <w:pStyle w:val="Heading1"/>
        <w:rPr>
          <w:lang w:val="pt-PT"/>
        </w:rPr>
      </w:pPr>
      <w:r>
        <w:rPr>
          <w:lang w:val="pt-PT" w:bidi="pt-PT"/>
        </w:rPr>
        <w:t>Utilização do instrumento de inquérito no planeamento nacional</w:t>
      </w:r>
    </w:p>
    <w:p w14:paraId="3CBF9866"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pt-PT"/>
        </w:rPr>
        <w:t>A nível nacional</w:t>
      </w:r>
    </w:p>
    <w:p w14:paraId="1D464FBB"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pt-PT"/>
        </w:rPr>
        <w:t xml:space="preserve">O processo de comunicação de informações oferece aos países a oportunidade de analisar sistematicamente as suas disposições governativas relativas à gestão dos recursos hídricos a todos os níveis. A metodologia do instrumento de inquérito significa que uma análise não só identifica eventuais lacunas nas disposições existentes, mas também os desafios e sucessos na implementação dessas disposições </w:t>
      </w:r>
    </w:p>
    <w:p w14:paraId="2D6D8822"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pt-PT"/>
        </w:rPr>
        <w:t>Se a comunicação de informações for efetuada com base em consultas que envolvam um grupo alargado de partes interessadas, poderá apresentar a vantagem de ajudar essas partes interessadas a desenvolver um entendimento comum dos desafios e oportunidades existentes em matéria de gestão dos recursos hídricos.</w:t>
      </w:r>
    </w:p>
    <w:p w14:paraId="5E0C59F7"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pt-PT"/>
        </w:rPr>
        <w:lastRenderedPageBreak/>
        <w:t xml:space="preserve">O instrumento de inquérito preenchido e o respetivo processo de preenchimento podem, por conseguinte, constituir contributos úteis para os processos nacionais de planeamento a fim de promover a gestão dos recursos hídricos e equilibrar as prioridades sociais, económicas e ambientais. </w:t>
      </w:r>
    </w:p>
    <w:p w14:paraId="1AE43BDD"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pt-PT"/>
        </w:rPr>
        <w:t xml:space="preserve">Os países poderão ponderar a integração dos processos de comunicação de informações descritos no presente documento nos processos nacionais de planeamento. Tal poderá, designadamente, passar pela combinação de oficinas de trabalho para abordar tanto a avaliação como a comunicação da situação atual, bem como pelo aproveitamento da oportunidade para discutir inicialmente roteiros destinados a promover a gestão, o desenvolvimento e a utilização dos recursos hídricos. Estes processos podem contribuir para os processos nacionais em curso ou tornar-se no principal foco dos processos nacionais em países que ainda não estabeleceram procedimentos de acompanhamento, análise e planeamento. </w:t>
      </w:r>
    </w:p>
    <w:p w14:paraId="40D94CAD"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pt-PT"/>
        </w:rPr>
        <w:t>A nível regional</w:t>
      </w:r>
    </w:p>
    <w:p w14:paraId="6B5F55F2" w14:textId="1D2D6799" w:rsidR="000A17C6" w:rsidRDefault="007D6DEA" w:rsidP="007D6DEA">
      <w:pPr>
        <w:rPr>
          <w:rFonts w:eastAsia="Times New Roman" w:cs="Times New Roman"/>
          <w:sz w:val="22"/>
          <w:szCs w:val="22"/>
        </w:rPr>
      </w:pPr>
      <w:r w:rsidRPr="00743CEC">
        <w:rPr>
          <w:rFonts w:eastAsia="Times New Roman" w:cs="Times New Roman"/>
          <w:sz w:val="22"/>
          <w:szCs w:val="22"/>
          <w:lang w:bidi="pt-PT"/>
        </w:rPr>
        <w:t>A ONU Meio Ambiente está disponível para colaborar com os organismos regionais no desenvolvimento conjunto de avaliações e produtos regionais que ajudem a promover a implementação da GIRH em cada região. Este processo poderá envolver a facilitação da partilha de boas práticas na região.</w:t>
      </w:r>
    </w:p>
    <w:p w14:paraId="439E471D" w14:textId="77777777" w:rsidR="00CD75C4" w:rsidRPr="001E1E11" w:rsidRDefault="00CD75C4" w:rsidP="0058462A">
      <w:pPr>
        <w:pStyle w:val="Heading1"/>
        <w:rPr>
          <w:lang w:val="pt-PT"/>
        </w:rPr>
      </w:pPr>
      <w:r w:rsidRPr="005B629E">
        <w:rPr>
          <w:lang w:val="pt-PT" w:bidi="pt-PT"/>
        </w:rPr>
        <w:t>Diferenças por comparação com o instrumento de inquérito de base</w:t>
      </w:r>
    </w:p>
    <w:p w14:paraId="2A1AFDE6" w14:textId="77777777" w:rsidR="00CD75C4" w:rsidRPr="001E1E11" w:rsidRDefault="00CD75C4" w:rsidP="006D537B">
      <w:pPr>
        <w:pStyle w:val="ListParagraph"/>
        <w:ind w:left="0"/>
        <w:contextualSpacing w:val="0"/>
        <w:jc w:val="both"/>
        <w:rPr>
          <w:color w:val="000000"/>
          <w:sz w:val="22"/>
          <w:szCs w:val="22"/>
        </w:rPr>
      </w:pPr>
      <w:r w:rsidRPr="00743CEC">
        <w:rPr>
          <w:color w:val="000000"/>
          <w:sz w:val="22"/>
          <w:szCs w:val="22"/>
          <w:lang w:bidi="pt-PT"/>
        </w:rPr>
        <w:t>A fim de acompanhar o progresso durante o período dos ODS de forma fiável, é importante que seja adotada uma abordagem consistente à comunicação de informações. Neste sentido, o instrumento de inquérito utilizado na ronda 2 da comunicação de informações é, no geral, consistente com o utilizado na comunicação de informações de base em 2017/18. No entanto, na sequência de um período de revisão em 2019, foram introduzidas pequenas alterações no instrumento de inquérito para torná-lo mais claro e mais útil para os países.</w:t>
      </w:r>
      <w:r w:rsidRPr="00743CEC">
        <w:rPr>
          <w:rStyle w:val="FootnoteReference"/>
          <w:color w:val="000000"/>
          <w:sz w:val="22"/>
          <w:szCs w:val="22"/>
          <w:lang w:bidi="pt-PT"/>
        </w:rPr>
        <w:footnoteReference w:id="1"/>
      </w:r>
      <w:r w:rsidRPr="00743CEC">
        <w:rPr>
          <w:color w:val="000000"/>
          <w:sz w:val="22"/>
          <w:szCs w:val="22"/>
          <w:lang w:bidi="pt-PT"/>
        </w:rPr>
        <w:t xml:space="preserve"> </w:t>
      </w:r>
    </w:p>
    <w:p w14:paraId="688B3CA4" w14:textId="77777777" w:rsidR="00CD75C4" w:rsidRPr="001E1E11" w:rsidRDefault="00CD75C4" w:rsidP="006D537B">
      <w:pPr>
        <w:pStyle w:val="ListParagraph"/>
        <w:ind w:left="0"/>
        <w:contextualSpacing w:val="0"/>
        <w:jc w:val="both"/>
        <w:rPr>
          <w:color w:val="000000"/>
          <w:sz w:val="22"/>
          <w:szCs w:val="22"/>
        </w:rPr>
      </w:pPr>
      <w:r w:rsidRPr="00743CEC">
        <w:rPr>
          <w:color w:val="000000"/>
          <w:sz w:val="22"/>
          <w:szCs w:val="22"/>
          <w:lang w:bidi="pt-PT"/>
        </w:rPr>
        <w:t xml:space="preserve">O número total de perguntas não sofreu alterações, mantendo-se em 33. As principais alterações às perguntas estão indicadas no quadro seguinte. </w:t>
      </w:r>
    </w:p>
    <w:tbl>
      <w:tblPr>
        <w:tblStyle w:val="TableGrid"/>
        <w:tblW w:w="0" w:type="auto"/>
        <w:tblInd w:w="-2" w:type="dxa"/>
        <w:tblLook w:val="04A0" w:firstRow="1" w:lastRow="0" w:firstColumn="1" w:lastColumn="0" w:noHBand="0" w:noVBand="1"/>
      </w:tblPr>
      <w:tblGrid>
        <w:gridCol w:w="3124"/>
        <w:gridCol w:w="6974"/>
      </w:tblGrid>
      <w:tr w:rsidR="0058164E" w:rsidRPr="00743CEC" w14:paraId="66B4ADA7" w14:textId="77777777" w:rsidTr="0058164E">
        <w:tc>
          <w:tcPr>
            <w:tcW w:w="3124" w:type="dxa"/>
          </w:tcPr>
          <w:p w14:paraId="40A2427C"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pt-PT"/>
              </w:rPr>
              <w:t>Base de referência</w:t>
            </w:r>
          </w:p>
        </w:tc>
        <w:tc>
          <w:tcPr>
            <w:tcW w:w="6974" w:type="dxa"/>
          </w:tcPr>
          <w:p w14:paraId="2BDD5FE5"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pt-PT"/>
              </w:rPr>
              <w:t>Ronda 2</w:t>
            </w:r>
          </w:p>
        </w:tc>
      </w:tr>
      <w:tr w:rsidR="0058164E" w:rsidRPr="00743CEC" w14:paraId="3FC550BE" w14:textId="77777777" w:rsidTr="0058164E">
        <w:tc>
          <w:tcPr>
            <w:tcW w:w="3124" w:type="dxa"/>
          </w:tcPr>
          <w:p w14:paraId="3C76DB3A" w14:textId="6213A850" w:rsidR="00CD75C4" w:rsidRPr="001E1E11" w:rsidRDefault="00CD75C4" w:rsidP="00C908E4">
            <w:pPr>
              <w:pStyle w:val="ListParagraph"/>
              <w:spacing w:after="0"/>
              <w:ind w:left="0"/>
              <w:rPr>
                <w:color w:val="000000"/>
                <w:sz w:val="22"/>
                <w:szCs w:val="22"/>
              </w:rPr>
            </w:pPr>
            <w:r w:rsidRPr="00743CEC">
              <w:rPr>
                <w:color w:val="000000"/>
                <w:sz w:val="22"/>
                <w:szCs w:val="22"/>
                <w:lang w:bidi="pt-PT"/>
              </w:rPr>
              <w:t>Perguntas 1.2d e 2.2f: legislação e instituições infranacionais respetivamente, apenas para países federa</w:t>
            </w:r>
            <w:r w:rsidR="008F2502">
              <w:rPr>
                <w:color w:val="000000"/>
                <w:sz w:val="22"/>
                <w:szCs w:val="22"/>
                <w:lang w:bidi="pt-PT"/>
              </w:rPr>
              <w:t>is</w:t>
            </w:r>
            <w:r w:rsidRPr="00743CEC">
              <w:rPr>
                <w:color w:val="000000"/>
                <w:sz w:val="22"/>
                <w:szCs w:val="22"/>
                <w:lang w:bidi="pt-PT"/>
              </w:rPr>
              <w:t xml:space="preserve">. </w:t>
            </w:r>
          </w:p>
        </w:tc>
        <w:tc>
          <w:tcPr>
            <w:tcW w:w="6974" w:type="dxa"/>
          </w:tcPr>
          <w:p w14:paraId="36C507B4" w14:textId="77777777" w:rsidR="00CD75C4" w:rsidRPr="001E1E11" w:rsidRDefault="00CD75C4" w:rsidP="00C908E4">
            <w:pPr>
              <w:pStyle w:val="ListParagraph"/>
              <w:spacing w:after="0"/>
              <w:ind w:left="0"/>
              <w:rPr>
                <w:color w:val="000000"/>
                <w:sz w:val="22"/>
                <w:szCs w:val="22"/>
              </w:rPr>
            </w:pPr>
            <w:r w:rsidRPr="00743CEC">
              <w:rPr>
                <w:color w:val="000000"/>
                <w:sz w:val="22"/>
                <w:szCs w:val="22"/>
                <w:lang w:bidi="pt-PT"/>
              </w:rPr>
              <w:t xml:space="preserve">As perguntas 1.2d e 2.2f revistas estão abertas a todos os países, reconhecendo que muitos países dispõem de regulamentos e autoridades infranacionais, mesmo que não estejam federados. </w:t>
            </w:r>
          </w:p>
        </w:tc>
      </w:tr>
      <w:tr w:rsidR="0058164E" w:rsidRPr="00743CEC" w14:paraId="639EC641" w14:textId="77777777" w:rsidTr="0058164E">
        <w:trPr>
          <w:trHeight w:val="758"/>
        </w:trPr>
        <w:tc>
          <w:tcPr>
            <w:tcW w:w="3124" w:type="dxa"/>
          </w:tcPr>
          <w:p w14:paraId="0FB76663" w14:textId="77777777" w:rsidR="00CD75C4" w:rsidRPr="001E1E11" w:rsidRDefault="00CD75C4" w:rsidP="00C908E4">
            <w:pPr>
              <w:pStyle w:val="ListParagraph"/>
              <w:spacing w:after="0"/>
              <w:ind w:left="0"/>
              <w:rPr>
                <w:color w:val="000000"/>
                <w:sz w:val="22"/>
                <w:szCs w:val="22"/>
              </w:rPr>
            </w:pPr>
            <w:r w:rsidRPr="00743CEC">
              <w:rPr>
                <w:color w:val="000000"/>
                <w:sz w:val="22"/>
                <w:szCs w:val="22"/>
                <w:lang w:bidi="pt-PT"/>
              </w:rPr>
              <w:t>Perguntas 2.1e, 2.2c e 2.2d: género aos níveis nacional, infranacional e transfronteiriço.</w:t>
            </w:r>
          </w:p>
        </w:tc>
        <w:tc>
          <w:tcPr>
            <w:tcW w:w="6974" w:type="dxa"/>
          </w:tcPr>
          <w:p w14:paraId="09DFA3E2" w14:textId="77777777" w:rsidR="00CD75C4" w:rsidRPr="001E1E11" w:rsidRDefault="00CD75C4" w:rsidP="00C908E4">
            <w:pPr>
              <w:pStyle w:val="ListParagraph"/>
              <w:spacing w:after="0"/>
              <w:ind w:left="0"/>
              <w:rPr>
                <w:color w:val="000000"/>
                <w:sz w:val="22"/>
                <w:szCs w:val="22"/>
              </w:rPr>
            </w:pPr>
            <w:r w:rsidRPr="00743CEC">
              <w:rPr>
                <w:color w:val="000000"/>
                <w:sz w:val="22"/>
                <w:szCs w:val="22"/>
                <w:lang w:bidi="pt-PT"/>
              </w:rPr>
              <w:t>Estas três perguntas foram combinadas numa única pergunta 2.2d. Como a maioria dos países comunicou as mesmas pontuações ou pontuações semelhantes em cada nível, na base de referência, a existência de três perguntas não acrescentava grande valor. A combinação destas três perguntas criou espaço para duas perguntas adicionais (ver abaixo).</w:t>
            </w:r>
          </w:p>
        </w:tc>
      </w:tr>
      <w:tr w:rsidR="0058164E" w:rsidRPr="00743CEC" w14:paraId="30B91035" w14:textId="77777777" w:rsidTr="0058164E">
        <w:tc>
          <w:tcPr>
            <w:tcW w:w="3124" w:type="dxa"/>
          </w:tcPr>
          <w:p w14:paraId="5D288B72"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pt-PT"/>
              </w:rPr>
              <w:t>-</w:t>
            </w:r>
          </w:p>
        </w:tc>
        <w:tc>
          <w:tcPr>
            <w:tcW w:w="6974" w:type="dxa"/>
          </w:tcPr>
          <w:p w14:paraId="777A7A77" w14:textId="77777777" w:rsidR="00CD75C4" w:rsidRPr="001E1E11" w:rsidRDefault="00CD75C4" w:rsidP="00C908E4">
            <w:pPr>
              <w:pStyle w:val="ListParagraph"/>
              <w:spacing w:after="0"/>
              <w:ind w:left="0"/>
              <w:rPr>
                <w:color w:val="000000"/>
                <w:sz w:val="22"/>
                <w:szCs w:val="22"/>
              </w:rPr>
            </w:pPr>
            <w:r w:rsidRPr="00743CEC">
              <w:rPr>
                <w:color w:val="000000"/>
                <w:sz w:val="22"/>
                <w:szCs w:val="22"/>
                <w:lang w:bidi="pt-PT"/>
              </w:rPr>
              <w:t>Nova pergunta 2.2d sobre grupos vulneráveis. Esta pergunta capta um elemento da participação das partes interessadas que é importante no contexto do princípio de “não deixar ninguém para trás”, um dos princípios fundamentais da Agenda 2030.</w:t>
            </w:r>
          </w:p>
        </w:tc>
      </w:tr>
      <w:tr w:rsidR="0058164E" w:rsidRPr="00743CEC" w14:paraId="14F403CE" w14:textId="77777777" w:rsidTr="0058164E">
        <w:tc>
          <w:tcPr>
            <w:tcW w:w="3124" w:type="dxa"/>
          </w:tcPr>
          <w:p w14:paraId="46AF8729"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pt-PT"/>
              </w:rPr>
              <w:lastRenderedPageBreak/>
              <w:t>-</w:t>
            </w:r>
          </w:p>
        </w:tc>
        <w:tc>
          <w:tcPr>
            <w:tcW w:w="6974" w:type="dxa"/>
          </w:tcPr>
          <w:p w14:paraId="56E11BCA" w14:textId="77777777" w:rsidR="00CD75C4" w:rsidRPr="001E1E11" w:rsidRDefault="00CD75C4" w:rsidP="00C908E4">
            <w:pPr>
              <w:pStyle w:val="ListParagraph"/>
              <w:spacing w:after="0"/>
              <w:ind w:left="0"/>
              <w:rPr>
                <w:color w:val="000000"/>
                <w:sz w:val="22"/>
                <w:szCs w:val="22"/>
              </w:rPr>
            </w:pPr>
            <w:r w:rsidRPr="00743CEC">
              <w:rPr>
                <w:color w:val="000000"/>
                <w:sz w:val="22"/>
                <w:szCs w:val="22"/>
                <w:lang w:bidi="pt-PT"/>
              </w:rPr>
              <w:t>Nova pergunta 4.2d sobre os orçamentos infranacionais ou relativos às bacias hidrográficas para elementos da GIRH, que reconhece a importância de disponibilizar financiamentos a níveis mais “operacionais”.</w:t>
            </w:r>
          </w:p>
        </w:tc>
      </w:tr>
    </w:tbl>
    <w:p w14:paraId="7042AD21" w14:textId="77777777" w:rsidR="00CD75C4" w:rsidRPr="001E1E11" w:rsidRDefault="00CD75C4" w:rsidP="006D537B">
      <w:pPr>
        <w:pStyle w:val="ListParagraph"/>
        <w:spacing w:before="120"/>
        <w:ind w:left="0"/>
        <w:contextualSpacing w:val="0"/>
        <w:jc w:val="both"/>
        <w:rPr>
          <w:color w:val="000000"/>
          <w:sz w:val="22"/>
          <w:szCs w:val="22"/>
        </w:rPr>
      </w:pPr>
      <w:r w:rsidRPr="00743CEC">
        <w:rPr>
          <w:color w:val="000000"/>
          <w:sz w:val="22"/>
          <w:szCs w:val="22"/>
          <w:lang w:bidi="pt-PT"/>
        </w:rPr>
        <w:t xml:space="preserve">Foram introduzidas pequenas alterações em algumas perguntas e na redação dos limiares, assim como notas de rodapé, a fim de melhorar a clareza. </w:t>
      </w:r>
    </w:p>
    <w:p w14:paraId="48F8CD23" w14:textId="1143557E" w:rsidR="00CD75C4" w:rsidRPr="001E1E11" w:rsidRDefault="00CD75C4" w:rsidP="006D537B">
      <w:pPr>
        <w:pStyle w:val="ListParagraph"/>
        <w:ind w:left="0"/>
        <w:contextualSpacing w:val="0"/>
        <w:jc w:val="both"/>
        <w:rPr>
          <w:color w:val="000000"/>
          <w:sz w:val="22"/>
          <w:szCs w:val="22"/>
        </w:rPr>
      </w:pPr>
      <w:r w:rsidRPr="00743CEC">
        <w:rPr>
          <w:color w:val="000000"/>
          <w:sz w:val="22"/>
          <w:szCs w:val="22"/>
          <w:lang w:bidi="pt-PT"/>
        </w:rPr>
        <w:t>O campo “Justificação/dados factuais” de cada pergunta, utilizado no inquérito de base, foi alterado para dois campos, que visam facilitar os processos de planeamento nacionais e o trabalho no sentido da meta 6.5. Trata-se dos campos “Descrição da situação” e “Caminho a seguir”. O preenchimento destes campos reforçará significativamente a robustez e a objetividade das respostas às perguntas. Contribuirá para que diferentes grupos de partes interessadas no país alcancem consenso nas respostas a cada pergunta, ajudará os países a analisar o que é necessário para atingir o limiar seguinte e a acompanhar o progresso ao longo do tempo e permitirá a uniformização dos graus de implementação entre os países. A parte 1 do instrumento de inquérito apresenta orientações sobre a forma de preencher estes campos.</w:t>
      </w:r>
    </w:p>
    <w:p w14:paraId="0BE2A530" w14:textId="77777777" w:rsidR="00CD75C4" w:rsidRPr="001E1E11" w:rsidRDefault="00CD75C4" w:rsidP="006D537B">
      <w:pPr>
        <w:pStyle w:val="ListParagraph"/>
        <w:ind w:left="0"/>
        <w:contextualSpacing w:val="0"/>
        <w:jc w:val="both"/>
        <w:rPr>
          <w:color w:val="000000"/>
          <w:sz w:val="22"/>
          <w:szCs w:val="22"/>
        </w:rPr>
      </w:pPr>
      <w:r w:rsidRPr="00743CEC">
        <w:rPr>
          <w:color w:val="000000"/>
          <w:sz w:val="22"/>
          <w:szCs w:val="22"/>
          <w:lang w:bidi="pt-PT"/>
        </w:rPr>
        <w:t>Os seguintes documentos foram revistos ou adicionados ao instrumento de inquérito:</w:t>
      </w:r>
    </w:p>
    <w:p w14:paraId="10E7E461" w14:textId="035E2854" w:rsidR="00CD75C4" w:rsidRPr="001E1E11" w:rsidRDefault="00CD75C4" w:rsidP="00686C89">
      <w:pPr>
        <w:pStyle w:val="ListParagraph"/>
        <w:numPr>
          <w:ilvl w:val="0"/>
          <w:numId w:val="17"/>
        </w:numPr>
        <w:ind w:left="851"/>
        <w:rPr>
          <w:color w:val="000000"/>
          <w:sz w:val="22"/>
          <w:szCs w:val="22"/>
        </w:rPr>
      </w:pPr>
      <w:r w:rsidRPr="00743CEC">
        <w:rPr>
          <w:color w:val="000000"/>
          <w:sz w:val="22"/>
          <w:szCs w:val="22"/>
          <w:lang w:bidi="pt-PT"/>
        </w:rPr>
        <w:t xml:space="preserve">Formulário </w:t>
      </w:r>
      <w:r w:rsidR="00145746">
        <w:rPr>
          <w:color w:val="000000"/>
          <w:sz w:val="22"/>
          <w:szCs w:val="22"/>
          <w:lang w:bidi="pt-PT"/>
        </w:rPr>
        <w:t>para entrega</w:t>
      </w:r>
      <w:r w:rsidRPr="00743CEC">
        <w:rPr>
          <w:color w:val="000000"/>
          <w:sz w:val="22"/>
          <w:szCs w:val="22"/>
          <w:lang w:bidi="pt-PT"/>
        </w:rPr>
        <w:t xml:space="preserve"> (folha de rosto) e lista de controlo da GQ (imediatamente a seguir à secção 5): a sua finalidade é melhorar a transparência, reforçar a solidez e reduzir o número de rondas de controlo da GQ entre a ONU Meio Ambiente e o ponto focal. Destinam-se a permitir ao ponto focal um preenchimento rápido. </w:t>
      </w:r>
    </w:p>
    <w:p w14:paraId="2B310AB9" w14:textId="77777777" w:rsidR="00CD75C4" w:rsidRPr="001E1E11" w:rsidRDefault="00CD75C4" w:rsidP="00686C89">
      <w:pPr>
        <w:pStyle w:val="ListParagraph"/>
        <w:numPr>
          <w:ilvl w:val="0"/>
          <w:numId w:val="17"/>
        </w:numPr>
        <w:ind w:left="851"/>
        <w:rPr>
          <w:color w:val="000000"/>
          <w:sz w:val="22"/>
          <w:szCs w:val="22"/>
        </w:rPr>
      </w:pPr>
      <w:r w:rsidRPr="00743CEC">
        <w:rPr>
          <w:color w:val="000000"/>
          <w:sz w:val="22"/>
          <w:szCs w:val="22"/>
          <w:lang w:bidi="pt-PT"/>
        </w:rPr>
        <w:t xml:space="preserve">Anexo A: glossário: o glossário foi transferido da secção introdutória para o anexo A. </w:t>
      </w:r>
    </w:p>
    <w:p w14:paraId="13751880" w14:textId="77777777" w:rsidR="00CD75C4" w:rsidRPr="001E1E11" w:rsidRDefault="00CD75C4" w:rsidP="00686C89">
      <w:pPr>
        <w:pStyle w:val="ListParagraph"/>
        <w:numPr>
          <w:ilvl w:val="0"/>
          <w:numId w:val="17"/>
        </w:numPr>
        <w:ind w:left="851"/>
        <w:rPr>
          <w:color w:val="000000"/>
          <w:sz w:val="22"/>
          <w:szCs w:val="22"/>
        </w:rPr>
      </w:pPr>
      <w:r w:rsidRPr="00743CEC">
        <w:rPr>
          <w:color w:val="000000"/>
          <w:sz w:val="22"/>
          <w:szCs w:val="22"/>
          <w:lang w:bidi="pt-PT"/>
        </w:rPr>
        <w:t xml:space="preserve">Anexo B: nível transfronteiriço: esta secção foi transferida da secção introdutória. O texto e o quadro foram alterados para efeitos de clareza e transparência. </w:t>
      </w:r>
    </w:p>
    <w:p w14:paraId="0E39B04F" w14:textId="77777777" w:rsidR="00CD75C4" w:rsidRPr="001E1E11" w:rsidRDefault="00CD75C4" w:rsidP="00686C89">
      <w:pPr>
        <w:pStyle w:val="ListParagraph"/>
        <w:numPr>
          <w:ilvl w:val="0"/>
          <w:numId w:val="17"/>
        </w:numPr>
        <w:ind w:left="851"/>
        <w:rPr>
          <w:color w:val="000000"/>
          <w:sz w:val="22"/>
          <w:szCs w:val="22"/>
        </w:rPr>
      </w:pPr>
      <w:r w:rsidRPr="00743CEC">
        <w:rPr>
          <w:color w:val="000000"/>
          <w:sz w:val="22"/>
          <w:szCs w:val="22"/>
          <w:lang w:bidi="pt-PT"/>
        </w:rPr>
        <w:t xml:space="preserve">Anexo C: barreiras, viabilizadores e passos seguintes na implementação da GIRH: trata-se de um novo anexo, baseado nas experiências do que muitos países consideraram útil nos processos e resultados das oficinas de trabalho durante a comunicação de informações de base. Destina-se a ajudar os países a identificar os principais desafios e os passos seguintes para fazer avançar a implementação da GIRH e pode ser utilizado como contributo para os processos de planeamento nacionais. </w:t>
      </w:r>
    </w:p>
    <w:p w14:paraId="562D76F4" w14:textId="04E661D9" w:rsidR="00CD75C4" w:rsidRPr="001E1E11" w:rsidRDefault="00CD75C4" w:rsidP="00686C89">
      <w:pPr>
        <w:pStyle w:val="ListParagraph"/>
        <w:numPr>
          <w:ilvl w:val="0"/>
          <w:numId w:val="17"/>
        </w:numPr>
        <w:ind w:left="851"/>
        <w:rPr>
          <w:color w:val="000000"/>
          <w:sz w:val="22"/>
          <w:szCs w:val="22"/>
        </w:rPr>
      </w:pPr>
      <w:r w:rsidRPr="00743CEC">
        <w:rPr>
          <w:sz w:val="22"/>
          <w:szCs w:val="22"/>
          <w:lang w:bidi="pt-PT"/>
        </w:rPr>
        <w:t xml:space="preserve">Anexo D: desafios prioritários em matéria de recursos hídricos: este novo anexo contém uma lista de controlo simples que complementa os aspetos de gestão da água no instrumento de inquérito principal, mas não afeta a pontuação global do indicador. Pode ser útil para os países nas discussões e no planeamento com as partes interessadas. Ao longo do tempo, pode também ajudar os países a avaliar se a implementação da GIRH pode contribuir para reduzir o nível dos desafios relativos a diferentes questões de recursos hídricos. Baseia-se numa comunicação de informações semelhante em 2011, disponível </w:t>
      </w:r>
      <w:hyperlink r:id="rId18" w:history="1">
        <w:r w:rsidRPr="006E3660">
          <w:rPr>
            <w:rStyle w:val="Hyperlink"/>
            <w:sz w:val="22"/>
            <w:szCs w:val="22"/>
            <w:lang w:bidi="pt-PT"/>
          </w:rPr>
          <w:t>aqui</w:t>
        </w:r>
      </w:hyperlink>
      <w:r w:rsidRPr="00743CEC">
        <w:rPr>
          <w:sz w:val="22"/>
          <w:szCs w:val="22"/>
          <w:lang w:bidi="pt-PT"/>
        </w:rPr>
        <w:t xml:space="preserve">. </w:t>
      </w:r>
    </w:p>
    <w:p w14:paraId="0AAADBB5" w14:textId="4E3DE0FA" w:rsidR="00A6693B" w:rsidRPr="001E1E11" w:rsidRDefault="00CD75C4" w:rsidP="00686C89">
      <w:pPr>
        <w:pStyle w:val="ListParagraph"/>
        <w:numPr>
          <w:ilvl w:val="0"/>
          <w:numId w:val="17"/>
        </w:numPr>
        <w:ind w:left="851"/>
        <w:rPr>
          <w:color w:val="000000"/>
          <w:sz w:val="22"/>
          <w:szCs w:val="22"/>
        </w:rPr>
      </w:pPr>
      <w:r w:rsidRPr="00743CEC">
        <w:rPr>
          <w:sz w:val="22"/>
          <w:szCs w:val="22"/>
          <w:lang w:bidi="pt-PT"/>
        </w:rPr>
        <w:t xml:space="preserve">Anexo E: formulário de processo de comunicação de informações nacionais sobre o indicador 6.5.1: este novo anexo baseia-se no formulário </w:t>
      </w:r>
      <w:r w:rsidR="00145746">
        <w:rPr>
          <w:sz w:val="22"/>
          <w:szCs w:val="22"/>
          <w:lang w:bidi="pt-PT"/>
        </w:rPr>
        <w:t>para entrega</w:t>
      </w:r>
      <w:r w:rsidRPr="00743CEC">
        <w:rPr>
          <w:sz w:val="22"/>
          <w:szCs w:val="22"/>
          <w:lang w:bidi="pt-PT"/>
        </w:rPr>
        <w:t xml:space="preserve"> (folha de rosto). Com base no feedback e na experiência da ronda de comunicação de informações de base, este anexo destina-se a aumentar significativamente a transparência do processo e, deste modo, fortalecer a confiança nos resultados a nível nacional, regional e global. </w:t>
      </w:r>
    </w:p>
    <w:p w14:paraId="29394795" w14:textId="39696E1D" w:rsidR="00CD75C4" w:rsidRPr="001E1E11" w:rsidRDefault="00A6693B" w:rsidP="006D537B">
      <w:pPr>
        <w:jc w:val="both"/>
        <w:rPr>
          <w:color w:val="000000"/>
          <w:sz w:val="22"/>
          <w:szCs w:val="22"/>
        </w:rPr>
      </w:pPr>
      <w:r w:rsidRPr="00A6693B">
        <w:rPr>
          <w:sz w:val="22"/>
          <w:szCs w:val="22"/>
          <w:lang w:bidi="pt-PT"/>
        </w:rPr>
        <w:t>Reconhece-se que os países federa</w:t>
      </w:r>
      <w:r w:rsidR="008F2502">
        <w:rPr>
          <w:sz w:val="22"/>
          <w:szCs w:val="22"/>
          <w:lang w:bidi="pt-PT"/>
        </w:rPr>
        <w:t>is</w:t>
      </w:r>
      <w:r w:rsidRPr="00A6693B">
        <w:rPr>
          <w:sz w:val="22"/>
          <w:szCs w:val="22"/>
          <w:lang w:bidi="pt-PT"/>
        </w:rPr>
        <w:t xml:space="preserve"> ou os países com uma transferência significativa da responsabilidade pela gestão dos recursos hídricos para as jurisdições infranacionais poderão ter dificuldades adicionais ao responder às </w:t>
      </w:r>
      <w:r w:rsidRPr="00A6693B">
        <w:rPr>
          <w:sz w:val="22"/>
          <w:szCs w:val="22"/>
          <w:lang w:bidi="pt-PT"/>
        </w:rPr>
        <w:lastRenderedPageBreak/>
        <w:t>perguntas. Na comunicação de informações de base, 23 em 27 países federa</w:t>
      </w:r>
      <w:r w:rsidR="008F2502">
        <w:rPr>
          <w:sz w:val="22"/>
          <w:szCs w:val="22"/>
          <w:lang w:bidi="pt-PT"/>
        </w:rPr>
        <w:t>is</w:t>
      </w:r>
      <w:r w:rsidRPr="00A6693B">
        <w:rPr>
          <w:sz w:val="22"/>
          <w:szCs w:val="22"/>
          <w:lang w:bidi="pt-PT"/>
        </w:rPr>
        <w:t xml:space="preserve"> responderam ao instrumento de inquérito, demonstrando a viabilidade da abordagem. Os países são incentivados a explicar sucintamente, no anexo C do instrumento de inquérito, o nível de transferência da gestão dos recursos hídricos e os desafios e oportunidades que esta transferência apresenta. Os países federa</w:t>
      </w:r>
      <w:r w:rsidR="008F2502">
        <w:rPr>
          <w:sz w:val="22"/>
          <w:szCs w:val="22"/>
          <w:lang w:bidi="pt-PT"/>
        </w:rPr>
        <w:t>is</w:t>
      </w:r>
      <w:r w:rsidRPr="00A6693B">
        <w:rPr>
          <w:sz w:val="22"/>
          <w:szCs w:val="22"/>
          <w:lang w:bidi="pt-PT"/>
        </w:rPr>
        <w:t>, que sintam preocupações quanto à forma de responder a aspetos do instrumento de inquérito, são convidados a contactar o serviço de apoio 6.5.1 com a brevidade possível.</w:t>
      </w:r>
    </w:p>
    <w:p w14:paraId="50E32573" w14:textId="72F7BDBE" w:rsidR="00F8146D" w:rsidRPr="00804D41" w:rsidRDefault="00F8146D" w:rsidP="00F8146D">
      <w:pPr>
        <w:pStyle w:val="Heading1"/>
        <w:rPr>
          <w:lang w:val="pt-PT"/>
        </w:rPr>
      </w:pPr>
      <w:r w:rsidRPr="005B629E">
        <w:rPr>
          <w:lang w:val="pt-PT" w:bidi="pt-PT"/>
        </w:rPr>
        <w:t>envio e serviço de apoio</w:t>
      </w:r>
    </w:p>
    <w:p w14:paraId="35208412" w14:textId="7939FC6C"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pt-PT"/>
        </w:rPr>
        <w:t xml:space="preserve">O ponto focal da GIRH é responsável por enviar um instrumento de inquérito único, definitivo, preenchido e aprovado à ONU Meio Ambiente para o serviço de apoio: </w:t>
      </w:r>
      <w:hyperlink r:id="rId19" w:history="1">
        <w:r w:rsidR="007926DA" w:rsidRPr="0066393D">
          <w:rPr>
            <w:rStyle w:val="Hyperlink"/>
            <w:rFonts w:eastAsia="Times New Roman" w:cs="Times New Roman"/>
            <w:sz w:val="22"/>
            <w:szCs w:val="22"/>
            <w:lang w:bidi="pt-PT"/>
          </w:rPr>
          <w:t>iwrmsdg651@un.org</w:t>
        </w:r>
      </w:hyperlink>
      <w:r w:rsidRPr="00743CEC">
        <w:rPr>
          <w:rFonts w:eastAsia="Times New Roman" w:cs="Times New Roman"/>
          <w:sz w:val="22"/>
          <w:szCs w:val="22"/>
          <w:lang w:bidi="pt-PT"/>
        </w:rPr>
        <w:t>. Ponderar a partilha de versões preliminares do instrumento de inquérito com a ONU Meio Ambiente para obter comentários prévios ao envio formal.</w:t>
      </w:r>
    </w:p>
    <w:p w14:paraId="72B49369" w14:textId="77777777" w:rsidR="009544C5" w:rsidRPr="00743CEC" w:rsidRDefault="009544C5" w:rsidP="006D537B">
      <w:pPr>
        <w:jc w:val="both"/>
        <w:rPr>
          <w:sz w:val="22"/>
          <w:szCs w:val="22"/>
        </w:rPr>
      </w:pPr>
      <w:r w:rsidRPr="00743CEC">
        <w:rPr>
          <w:sz w:val="22"/>
          <w:szCs w:val="22"/>
          <w:lang w:bidi="pt-PT"/>
        </w:rPr>
        <w:t xml:space="preserve">Mediante pedido, o serviço de apoio prestará ajuda aos pontos focais nacionais da GIRH em questões como a interpretação das perguntas e dos limiares e o nível apropriado de participação das partes interessadas nos países, bem como ajuda na apresentação das pontuações finais do indicador.  </w:t>
      </w:r>
      <w:r w:rsidRPr="00454009">
        <w:rPr>
          <w:rFonts w:eastAsia="Times New Roman" w:cs="Times New Roman"/>
          <w:sz w:val="22"/>
          <w:szCs w:val="22"/>
          <w:lang w:bidi="pt-PT"/>
        </w:rPr>
        <w:t>Está igualmente disponível uma folha de cálculo simples para apoiar os pontos focais no cálculo das médias das secções e da pontuação global.</w:t>
      </w:r>
    </w:p>
    <w:p w14:paraId="3B777178" w14:textId="584837A9"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pt-PT"/>
        </w:rPr>
        <w:t>A ONU Meio Ambiente tem ainda responsabilidade por:</w:t>
      </w:r>
    </w:p>
    <w:p w14:paraId="7048D4A5" w14:textId="77777777" w:rsidR="00F8146D"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lang w:bidi="pt-PT"/>
        </w:rPr>
        <w:t>Prestar assistência ao país em matéria dos controlos de qualidade necessários</w:t>
      </w:r>
    </w:p>
    <w:p w14:paraId="553B0357" w14:textId="658C2888" w:rsidR="009700C8"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lang w:bidi="pt-PT"/>
        </w:rPr>
        <w:t>Comunicar dados à Divisão de Estatística da ONU</w:t>
      </w:r>
    </w:p>
    <w:p w14:paraId="338E1441" w14:textId="54FC2DDF" w:rsidR="00FA13E0" w:rsidRPr="00743CEC" w:rsidRDefault="009544C5" w:rsidP="0058462A">
      <w:pPr>
        <w:pStyle w:val="ListParagraph"/>
        <w:numPr>
          <w:ilvl w:val="1"/>
          <w:numId w:val="6"/>
        </w:numPr>
        <w:jc w:val="both"/>
      </w:pPr>
      <w:r w:rsidRPr="0058462A">
        <w:rPr>
          <w:rFonts w:eastAsia="Times New Roman" w:cs="Times New Roman"/>
          <w:sz w:val="22"/>
          <w:szCs w:val="22"/>
          <w:lang w:bidi="pt-PT"/>
        </w:rPr>
        <w:t xml:space="preserve">Disponibilizar os resultados através de um sítio web e preparar um relatório de progresso global. Podem ser descarregados </w:t>
      </w:r>
      <w:hyperlink r:id="rId20" w:history="1">
        <w:r w:rsidR="00F8146D" w:rsidRPr="009700C8">
          <w:rPr>
            <w:rStyle w:val="Hyperlink"/>
            <w:rFonts w:eastAsia="Times New Roman" w:cs="Times New Roman"/>
            <w:sz w:val="22"/>
            <w:szCs w:val="22"/>
            <w:lang w:bidi="pt-PT"/>
          </w:rPr>
          <w:t>aqui</w:t>
        </w:r>
      </w:hyperlink>
      <w:bookmarkStart w:id="1" w:name="_GoBack"/>
      <w:bookmarkEnd w:id="1"/>
      <w:r w:rsidRPr="0058462A">
        <w:rPr>
          <w:rFonts w:eastAsia="Times New Roman" w:cs="Times New Roman"/>
          <w:sz w:val="22"/>
          <w:szCs w:val="22"/>
          <w:lang w:bidi="pt-PT"/>
        </w:rPr>
        <w:t xml:space="preserve"> relatórios de base globais e regionais.  </w:t>
      </w:r>
    </w:p>
    <w:sectPr w:rsidR="00FA13E0" w:rsidRPr="00743CEC" w:rsidSect="00CF60D3">
      <w:footerReference w:type="even" r:id="rId21"/>
      <w:footerReference w:type="default" r:id="rId22"/>
      <w:pgSz w:w="12240" w:h="15840" w:code="1"/>
      <w:pgMar w:top="1440" w:right="1008" w:bottom="1440" w:left="1008"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490F80" w14:textId="77777777" w:rsidR="00967D4F" w:rsidRDefault="00967D4F" w:rsidP="00334405">
      <w:pPr>
        <w:spacing w:after="0" w:line="240" w:lineRule="auto"/>
      </w:pPr>
      <w:r>
        <w:separator/>
      </w:r>
    </w:p>
  </w:endnote>
  <w:endnote w:type="continuationSeparator" w:id="0">
    <w:p w14:paraId="0605A01F" w14:textId="77777777" w:rsidR="00967D4F" w:rsidRDefault="00967D4F"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rPr>
        <w:rStyle w:val="PageNumber"/>
      </w:rPr>
    </w:pPr>
    <w:r>
      <w:rPr>
        <w:rStyle w:val="PageNumber"/>
        <w:lang w:bidi="pt-PT"/>
      </w:rPr>
      <w:fldChar w:fldCharType="begin"/>
    </w:r>
    <w:r>
      <w:rPr>
        <w:rStyle w:val="PageNumber"/>
        <w:lang w:bidi="pt-PT"/>
      </w:rPr>
      <w:instrText xml:space="preserve">PAGE  </w:instrText>
    </w:r>
    <w:r>
      <w:rPr>
        <w:rStyle w:val="PageNumber"/>
        <w:lang w:bidi="pt-PT"/>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rPr>
        <w:rStyle w:val="PageNumber"/>
      </w:rPr>
    </w:pPr>
    <w:r>
      <w:rPr>
        <w:rStyle w:val="PageNumber"/>
        <w:lang w:bidi="pt-PT"/>
      </w:rPr>
      <w:fldChar w:fldCharType="begin"/>
    </w:r>
    <w:r>
      <w:rPr>
        <w:rStyle w:val="PageNumber"/>
        <w:lang w:bidi="pt-PT"/>
      </w:rPr>
      <w:instrText xml:space="preserve">PAGE  </w:instrText>
    </w:r>
    <w:r>
      <w:rPr>
        <w:rStyle w:val="PageNumber"/>
        <w:lang w:bidi="pt-PT"/>
      </w:rPr>
      <w:fldChar w:fldCharType="separate"/>
    </w:r>
    <w:r w:rsidR="00922B42">
      <w:rPr>
        <w:rStyle w:val="PageNumber"/>
        <w:noProof/>
        <w:lang w:bidi="pt-PT"/>
      </w:rPr>
      <w:t>1</w:t>
    </w:r>
    <w:r>
      <w:rPr>
        <w:rStyle w:val="PageNumber"/>
        <w:lang w:bidi="pt-PT"/>
      </w:rPr>
      <w:fldChar w:fldCharType="end"/>
    </w:r>
  </w:p>
  <w:p w14:paraId="0E6EA933" w14:textId="3343546D" w:rsidR="002F2C0A" w:rsidRPr="006D7259" w:rsidRDefault="000C56C5" w:rsidP="000E19F8">
    <w:pPr>
      <w:pStyle w:val="NoSpacing"/>
      <w:ind w:right="360"/>
      <w:rPr>
        <w:sz w:val="18"/>
        <w:szCs w:val="18"/>
      </w:rPr>
    </w:pPr>
    <w:r w:rsidRPr="006D7259">
      <w:rPr>
        <w:sz w:val="18"/>
        <w:szCs w:val="18"/>
        <w:lang w:bidi="pt-PT"/>
      </w:rPr>
      <w:t xml:space="preserve">Guia de acompanhamento do indicador 6.5.1 do ODS 6 </w:t>
    </w:r>
    <w:r w:rsidR="00107067">
      <w:rPr>
        <w:sz w:val="18"/>
        <w:szCs w:val="18"/>
        <w:lang w:bidi="pt-PT"/>
      </w:rPr>
      <w:t>2020</w:t>
    </w:r>
    <w:r w:rsidRPr="006D7259">
      <w:rPr>
        <w:sz w:val="18"/>
        <w:szCs w:val="18"/>
        <w:lang w:bidi="pt-PT"/>
      </w:rPr>
      <w:tab/>
    </w:r>
    <w:r w:rsidRPr="006D7259">
      <w:rPr>
        <w:sz w:val="18"/>
        <w:szCs w:val="18"/>
        <w:lang w:bidi="pt-PT"/>
      </w:rPr>
      <w:tab/>
    </w:r>
    <w:r w:rsidRPr="006D7259">
      <w:rPr>
        <w:sz w:val="18"/>
        <w:szCs w:val="18"/>
        <w:lang w:bidi="pt-PT"/>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393C6" w14:textId="77777777" w:rsidR="00967D4F" w:rsidRDefault="00967D4F" w:rsidP="00334405">
      <w:pPr>
        <w:spacing w:after="0" w:line="240" w:lineRule="auto"/>
      </w:pPr>
      <w:r>
        <w:separator/>
      </w:r>
    </w:p>
  </w:footnote>
  <w:footnote w:type="continuationSeparator" w:id="0">
    <w:p w14:paraId="11CA08C8" w14:textId="77777777" w:rsidR="00967D4F" w:rsidRDefault="00967D4F" w:rsidP="00334405">
      <w:pPr>
        <w:spacing w:after="0" w:line="240" w:lineRule="auto"/>
      </w:pPr>
      <w:r>
        <w:continuationSeparator/>
      </w:r>
    </w:p>
  </w:footnote>
  <w:footnote w:id="1">
    <w:p w14:paraId="4DC94DC2" w14:textId="5B23D852" w:rsidR="00CD75C4" w:rsidRPr="001E1E11" w:rsidRDefault="00CD75C4" w:rsidP="00CD75C4">
      <w:pPr>
        <w:pStyle w:val="FootnoteText"/>
        <w:rPr>
          <w:sz w:val="20"/>
          <w:szCs w:val="20"/>
        </w:rPr>
      </w:pPr>
      <w:r w:rsidRPr="006D7259">
        <w:rPr>
          <w:rStyle w:val="FootnoteReference"/>
          <w:sz w:val="20"/>
          <w:szCs w:val="20"/>
          <w:lang w:bidi="pt-PT"/>
        </w:rPr>
        <w:footnoteRef/>
      </w:r>
      <w:r w:rsidRPr="006D7259">
        <w:rPr>
          <w:sz w:val="20"/>
          <w:szCs w:val="20"/>
          <w:lang w:bidi="pt-PT"/>
        </w:rPr>
        <w:t xml:space="preserve"> A documentação relativa ao processo de revisão, bem como um conjunto de recomendações, podem ser descarregados </w:t>
      </w:r>
      <w:hyperlink r:id="rId1" w:history="1">
        <w:r w:rsidRPr="006E3660">
          <w:rPr>
            <w:rStyle w:val="Hyperlink"/>
            <w:sz w:val="20"/>
            <w:szCs w:val="20"/>
            <w:lang w:bidi="pt-PT"/>
          </w:rPr>
          <w:t>aqui</w:t>
        </w:r>
      </w:hyperlink>
      <w:r w:rsidRPr="006D7259">
        <w:rPr>
          <w:sz w:val="20"/>
          <w:szCs w:val="20"/>
          <w:lang w:bidi="pt-PT"/>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EAC"/>
    <w:rsid w:val="00007506"/>
    <w:rsid w:val="0000794A"/>
    <w:rsid w:val="00007BC4"/>
    <w:rsid w:val="0001434B"/>
    <w:rsid w:val="000148DC"/>
    <w:rsid w:val="00014BE3"/>
    <w:rsid w:val="00016EDB"/>
    <w:rsid w:val="000223C0"/>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0E96"/>
    <w:rsid w:val="0006165D"/>
    <w:rsid w:val="00065B5E"/>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07067"/>
    <w:rsid w:val="001178D3"/>
    <w:rsid w:val="001246C7"/>
    <w:rsid w:val="00126B80"/>
    <w:rsid w:val="001271D2"/>
    <w:rsid w:val="001302AF"/>
    <w:rsid w:val="0013587F"/>
    <w:rsid w:val="001369DE"/>
    <w:rsid w:val="00137ACC"/>
    <w:rsid w:val="001405D5"/>
    <w:rsid w:val="00141D6D"/>
    <w:rsid w:val="00144B0F"/>
    <w:rsid w:val="00144ED3"/>
    <w:rsid w:val="00145746"/>
    <w:rsid w:val="00146A37"/>
    <w:rsid w:val="0015028D"/>
    <w:rsid w:val="00151EDC"/>
    <w:rsid w:val="001539CF"/>
    <w:rsid w:val="00156283"/>
    <w:rsid w:val="001570EF"/>
    <w:rsid w:val="00161AAB"/>
    <w:rsid w:val="001631DB"/>
    <w:rsid w:val="00163B30"/>
    <w:rsid w:val="0016430D"/>
    <w:rsid w:val="0016441C"/>
    <w:rsid w:val="00167487"/>
    <w:rsid w:val="00170A90"/>
    <w:rsid w:val="001727BC"/>
    <w:rsid w:val="00173308"/>
    <w:rsid w:val="0017584B"/>
    <w:rsid w:val="0017646D"/>
    <w:rsid w:val="00176AE1"/>
    <w:rsid w:val="00182A88"/>
    <w:rsid w:val="00183010"/>
    <w:rsid w:val="00186C0A"/>
    <w:rsid w:val="00187567"/>
    <w:rsid w:val="001A0B59"/>
    <w:rsid w:val="001A4F74"/>
    <w:rsid w:val="001B3595"/>
    <w:rsid w:val="001B503E"/>
    <w:rsid w:val="001B51DF"/>
    <w:rsid w:val="001B591D"/>
    <w:rsid w:val="001B5A3E"/>
    <w:rsid w:val="001B7FDA"/>
    <w:rsid w:val="001C16BB"/>
    <w:rsid w:val="001C5C33"/>
    <w:rsid w:val="001D021D"/>
    <w:rsid w:val="001D2E95"/>
    <w:rsid w:val="001D2F83"/>
    <w:rsid w:val="001D6700"/>
    <w:rsid w:val="001D6A7C"/>
    <w:rsid w:val="001D7D11"/>
    <w:rsid w:val="001E10F0"/>
    <w:rsid w:val="001E1D6A"/>
    <w:rsid w:val="001E1E11"/>
    <w:rsid w:val="001E4FB3"/>
    <w:rsid w:val="001E59B3"/>
    <w:rsid w:val="001E5A54"/>
    <w:rsid w:val="001E5E22"/>
    <w:rsid w:val="001E6090"/>
    <w:rsid w:val="001E7CE0"/>
    <w:rsid w:val="001F2CB8"/>
    <w:rsid w:val="00200ED1"/>
    <w:rsid w:val="00205970"/>
    <w:rsid w:val="00205988"/>
    <w:rsid w:val="00205A99"/>
    <w:rsid w:val="00212661"/>
    <w:rsid w:val="00212A67"/>
    <w:rsid w:val="00212DCC"/>
    <w:rsid w:val="002140CC"/>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42A"/>
    <w:rsid w:val="003D166E"/>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C0B75"/>
    <w:rsid w:val="004C5137"/>
    <w:rsid w:val="004D1F69"/>
    <w:rsid w:val="004D5251"/>
    <w:rsid w:val="004D592E"/>
    <w:rsid w:val="004E4E92"/>
    <w:rsid w:val="004E5659"/>
    <w:rsid w:val="004E7227"/>
    <w:rsid w:val="004F0733"/>
    <w:rsid w:val="004F1517"/>
    <w:rsid w:val="004F30AE"/>
    <w:rsid w:val="004F342E"/>
    <w:rsid w:val="004F376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08E5"/>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D2A"/>
    <w:rsid w:val="00716A60"/>
    <w:rsid w:val="00722F11"/>
    <w:rsid w:val="00726250"/>
    <w:rsid w:val="0073285F"/>
    <w:rsid w:val="00734D2A"/>
    <w:rsid w:val="00736FEF"/>
    <w:rsid w:val="007371D8"/>
    <w:rsid w:val="00741F16"/>
    <w:rsid w:val="00743CEC"/>
    <w:rsid w:val="00745C0A"/>
    <w:rsid w:val="00747EDF"/>
    <w:rsid w:val="00750E8C"/>
    <w:rsid w:val="00752E72"/>
    <w:rsid w:val="0075368D"/>
    <w:rsid w:val="00754C2D"/>
    <w:rsid w:val="0075651E"/>
    <w:rsid w:val="00756F9C"/>
    <w:rsid w:val="007627DD"/>
    <w:rsid w:val="007647B3"/>
    <w:rsid w:val="00770F65"/>
    <w:rsid w:val="00771720"/>
    <w:rsid w:val="00773CE9"/>
    <w:rsid w:val="0077640A"/>
    <w:rsid w:val="007768D2"/>
    <w:rsid w:val="00777A7D"/>
    <w:rsid w:val="0078116B"/>
    <w:rsid w:val="007902F3"/>
    <w:rsid w:val="007926DA"/>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BBF"/>
    <w:rsid w:val="007F1039"/>
    <w:rsid w:val="007F2C2E"/>
    <w:rsid w:val="007F6F33"/>
    <w:rsid w:val="00801E39"/>
    <w:rsid w:val="00802CBE"/>
    <w:rsid w:val="00804D41"/>
    <w:rsid w:val="00805541"/>
    <w:rsid w:val="008142C1"/>
    <w:rsid w:val="00815363"/>
    <w:rsid w:val="008159A5"/>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3828"/>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2502"/>
    <w:rsid w:val="008F3D8F"/>
    <w:rsid w:val="00900442"/>
    <w:rsid w:val="00907AE4"/>
    <w:rsid w:val="009102A3"/>
    <w:rsid w:val="00913C67"/>
    <w:rsid w:val="00917649"/>
    <w:rsid w:val="009202B3"/>
    <w:rsid w:val="009216D7"/>
    <w:rsid w:val="00922B42"/>
    <w:rsid w:val="00925044"/>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67D4F"/>
    <w:rsid w:val="009700C8"/>
    <w:rsid w:val="00970801"/>
    <w:rsid w:val="00970A39"/>
    <w:rsid w:val="00971850"/>
    <w:rsid w:val="00976113"/>
    <w:rsid w:val="00977175"/>
    <w:rsid w:val="009823AC"/>
    <w:rsid w:val="00984ACB"/>
    <w:rsid w:val="00992701"/>
    <w:rsid w:val="0099493F"/>
    <w:rsid w:val="009A59B5"/>
    <w:rsid w:val="009A5E80"/>
    <w:rsid w:val="009B73D6"/>
    <w:rsid w:val="009B77C8"/>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217F1"/>
    <w:rsid w:val="00A246C0"/>
    <w:rsid w:val="00A26CB0"/>
    <w:rsid w:val="00A34895"/>
    <w:rsid w:val="00A351C8"/>
    <w:rsid w:val="00A35E7C"/>
    <w:rsid w:val="00A37A8A"/>
    <w:rsid w:val="00A4223A"/>
    <w:rsid w:val="00A45F97"/>
    <w:rsid w:val="00A478B8"/>
    <w:rsid w:val="00A51393"/>
    <w:rsid w:val="00A520F3"/>
    <w:rsid w:val="00A62272"/>
    <w:rsid w:val="00A629E9"/>
    <w:rsid w:val="00A6693B"/>
    <w:rsid w:val="00A71405"/>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60743"/>
    <w:rsid w:val="00D60BAC"/>
    <w:rsid w:val="00D66291"/>
    <w:rsid w:val="00D72449"/>
    <w:rsid w:val="00D754D6"/>
    <w:rsid w:val="00D80086"/>
    <w:rsid w:val="00D8440F"/>
    <w:rsid w:val="00D8506A"/>
    <w:rsid w:val="00D85088"/>
    <w:rsid w:val="00D851C1"/>
    <w:rsid w:val="00D853F2"/>
    <w:rsid w:val="00D86301"/>
    <w:rsid w:val="00D87DC7"/>
    <w:rsid w:val="00D91913"/>
    <w:rsid w:val="00D936ED"/>
    <w:rsid w:val="00D93872"/>
    <w:rsid w:val="00D944EA"/>
    <w:rsid w:val="00D95FFD"/>
    <w:rsid w:val="00DA1319"/>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6B53"/>
    <w:rsid w:val="00E1776D"/>
    <w:rsid w:val="00E21F16"/>
    <w:rsid w:val="00E26D43"/>
    <w:rsid w:val="00E27230"/>
    <w:rsid w:val="00E3006C"/>
    <w:rsid w:val="00E3050B"/>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3317"/>
    <w:rsid w:val="00F64322"/>
    <w:rsid w:val="00F66A02"/>
    <w:rsid w:val="00F67F39"/>
    <w:rsid w:val="00F701A4"/>
    <w:rsid w:val="00F7037A"/>
    <w:rsid w:val="00F75020"/>
    <w:rsid w:val="00F75EC7"/>
    <w:rsid w:val="00F8146D"/>
    <w:rsid w:val="00F8794F"/>
    <w:rsid w:val="00F902F1"/>
    <w:rsid w:val="00F927D5"/>
    <w:rsid w:val="00F95800"/>
    <w:rsid w:val="00F9584D"/>
    <w:rsid w:val="00FA010F"/>
    <w:rsid w:val="00FA13E0"/>
    <w:rsid w:val="00FA3273"/>
    <w:rsid w:val="00FA4533"/>
    <w:rsid w:val="00FA58B3"/>
    <w:rsid w:val="00FA68EF"/>
    <w:rsid w:val="00FA7AB3"/>
    <w:rsid w:val="00FB1103"/>
    <w:rsid w:val="00FB315D"/>
    <w:rsid w:val="00FB49D9"/>
    <w:rsid w:val="00FB6263"/>
    <w:rsid w:val="00FB7768"/>
    <w:rsid w:val="00FC1E5C"/>
    <w:rsid w:val="00FC21FB"/>
    <w:rsid w:val="00FC30CF"/>
    <w:rsid w:val="00FC51DF"/>
    <w:rsid w:val="00FD14B3"/>
    <w:rsid w:val="00FD1938"/>
    <w:rsid w:val="00FD7C50"/>
    <w:rsid w:val="00FE1B64"/>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2.xml><?xml version="1.0" encoding="utf-8"?>
<ds:datastoreItem xmlns:ds="http://schemas.openxmlformats.org/officeDocument/2006/customXml" ds:itemID="{54362C07-DA62-4507-9E7F-1C038AFE903B}"/>
</file>

<file path=customXml/itemProps3.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64CE52F-D869-485C-8061-176E28082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3</TotalTime>
  <Pages>8</Pages>
  <Words>3243</Words>
  <Characters>19783</Characters>
  <Application>Microsoft Office Word</Application>
  <DocSecurity>0</DocSecurity>
  <Lines>164</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7</cp:revision>
  <cp:lastPrinted>2019-09-20T11:59:00Z</cp:lastPrinted>
  <dcterms:created xsi:type="dcterms:W3CDTF">2019-11-21T17:18:00Z</dcterms:created>
  <dcterms:modified xsi:type="dcterms:W3CDTF">2019-12-09T12:53:00Z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